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945DF" w:rsidRDefault="0031680D">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#102</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R1-2005316</w:t>
      </w:r>
    </w:p>
    <w:p w:rsidR="006945DF" w:rsidRDefault="0031680D">
      <w:pPr>
        <w:tabs>
          <w:tab w:val="center" w:pos="4536"/>
          <w:tab w:val="right" w:pos="9639"/>
        </w:tabs>
        <w:spacing w:beforeLines="0" w:after="120" w:line="240" w:lineRule="auto"/>
        <w:ind w:right="2"/>
        <w:rPr>
          <w:rFonts w:ascii="Arial" w:hAnsi="Arial" w:cs="Arial"/>
          <w:b/>
          <w:bCs/>
          <w:sz w:val="22"/>
          <w:szCs w:val="22"/>
          <w:lang w:eastAsia="ja-JP"/>
        </w:rPr>
      </w:pPr>
      <w:r>
        <w:rPr>
          <w:rFonts w:ascii="Arial" w:hAnsi="Arial" w:cs="Arial"/>
          <w:b/>
          <w:bCs/>
          <w:sz w:val="22"/>
          <w:szCs w:val="22"/>
          <w:lang w:eastAsia="ja-JP"/>
        </w:rPr>
        <w:t>e-Meeting</w:t>
      </w:r>
      <w:r>
        <w:rPr>
          <w:rFonts w:ascii="Arial" w:hAnsi="Arial" w:cs="Arial" w:hint="eastAsia"/>
          <w:b/>
          <w:bCs/>
          <w:sz w:val="22"/>
          <w:szCs w:val="22"/>
          <w:lang w:eastAsia="ja-JP"/>
        </w:rPr>
        <w:t xml:space="preserve">, </w:t>
      </w:r>
      <w:r>
        <w:rPr>
          <w:rFonts w:ascii="Arial" w:hAnsi="Arial" w:cs="Arial" w:hint="eastAsia"/>
          <w:b/>
          <w:bCs/>
          <w:sz w:val="22"/>
          <w:szCs w:val="22"/>
        </w:rPr>
        <w:t>August</w:t>
      </w:r>
      <w:r>
        <w:rPr>
          <w:rFonts w:ascii="Arial" w:hAnsi="Arial" w:cs="Arial" w:hint="eastAsia"/>
          <w:b/>
          <w:bCs/>
          <w:sz w:val="22"/>
          <w:szCs w:val="22"/>
          <w:lang w:eastAsia="ja-JP"/>
        </w:rPr>
        <w:t xml:space="preserve"> </w:t>
      </w:r>
      <w:r>
        <w:rPr>
          <w:rFonts w:ascii="Arial" w:hAnsi="Arial" w:cs="Arial" w:hint="eastAsia"/>
          <w:b/>
          <w:bCs/>
          <w:sz w:val="22"/>
          <w:szCs w:val="22"/>
        </w:rPr>
        <w:t>17</w:t>
      </w:r>
      <w:r>
        <w:rPr>
          <w:rFonts w:ascii="Arial" w:hAnsi="Arial" w:cs="Arial" w:hint="eastAsia"/>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28</w:t>
      </w:r>
      <w:r>
        <w:rPr>
          <w:rFonts w:ascii="Arial" w:hAnsi="Arial" w:cs="Arial" w:hint="eastAsia"/>
          <w:b/>
          <w:bCs/>
          <w:sz w:val="22"/>
          <w:szCs w:val="22"/>
          <w:vertAlign w:val="superscript"/>
          <w:lang w:eastAsia="ja-JP"/>
        </w:rPr>
        <w:t>th</w:t>
      </w:r>
      <w:r>
        <w:rPr>
          <w:rFonts w:ascii="Arial" w:hAnsi="Arial" w:cs="Arial" w:hint="eastAsia"/>
          <w:b/>
          <w:bCs/>
          <w:sz w:val="22"/>
          <w:szCs w:val="22"/>
          <w:lang w:eastAsia="ja-JP"/>
        </w:rPr>
        <w:t>, 202</w:t>
      </w:r>
      <w:r>
        <w:rPr>
          <w:rFonts w:ascii="Arial" w:hAnsi="Arial" w:cs="Arial" w:hint="eastAsia"/>
          <w:b/>
          <w:bCs/>
          <w:sz w:val="22"/>
          <w:szCs w:val="22"/>
        </w:rPr>
        <w:t>0</w:t>
      </w:r>
    </w:p>
    <w:p w:rsidR="006945DF" w:rsidRDefault="006945DF">
      <w:pPr>
        <w:tabs>
          <w:tab w:val="center" w:pos="4536"/>
          <w:tab w:val="right" w:pos="9639"/>
        </w:tabs>
        <w:spacing w:beforeLines="0" w:afterLines="0" w:line="240" w:lineRule="auto"/>
        <w:rPr>
          <w:rFonts w:ascii="Arial" w:hAnsi="Arial" w:cs="Arial"/>
          <w:b/>
          <w:bCs/>
          <w:sz w:val="22"/>
          <w:szCs w:val="22"/>
        </w:rPr>
      </w:pPr>
    </w:p>
    <w:p w:rsidR="006945DF" w:rsidRDefault="0031680D">
      <w:pPr>
        <w:tabs>
          <w:tab w:val="left" w:pos="1985"/>
        </w:tabs>
        <w:spacing w:before="12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Remaining i</w:t>
      </w:r>
      <w:r>
        <w:rPr>
          <w:rFonts w:ascii="Arial" w:hAnsi="Arial"/>
          <w:b/>
          <w:sz w:val="22"/>
          <w:szCs w:val="22"/>
        </w:rPr>
        <w:t>ssues in IAB</w:t>
      </w:r>
      <w:r>
        <w:rPr>
          <w:rFonts w:ascii="Arial" w:hAnsi="Arial" w:hint="eastAsia"/>
          <w:b/>
          <w:sz w:val="22"/>
          <w:szCs w:val="22"/>
        </w:rPr>
        <w:t xml:space="preserve"> resource multiplexing</w:t>
      </w:r>
    </w:p>
    <w:p w:rsidR="006945DF" w:rsidRDefault="0031680D">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6945DF" w:rsidRDefault="0031680D">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7.2.3</w:t>
      </w:r>
    </w:p>
    <w:p w:rsidR="006945DF" w:rsidRDefault="0031680D">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6945DF" w:rsidRDefault="0031680D">
      <w:pPr>
        <w:pStyle w:val="Heading1"/>
        <w:spacing w:before="120" w:after="120"/>
        <w:ind w:left="0"/>
        <w:rPr>
          <w:rFonts w:eastAsia="SimSun"/>
        </w:rPr>
      </w:pPr>
      <w:r>
        <w:rPr>
          <w:rFonts w:eastAsia="SimSun" w:hint="eastAsia"/>
        </w:rPr>
        <w:t>Introduction</w:t>
      </w:r>
    </w:p>
    <w:p w:rsidR="006945DF" w:rsidRDefault="0031680D" w:rsidP="003C08FB">
      <w:pPr>
        <w:spacing w:before="120" w:after="120" w:line="259" w:lineRule="auto"/>
        <w:rPr>
          <w:sz w:val="20"/>
          <w:szCs w:val="22"/>
        </w:rPr>
      </w:pPr>
      <w:r>
        <w:rPr>
          <w:sz w:val="20"/>
        </w:rPr>
        <w:t>This contribution further discusses the following remaining issues in Rel-16 IAB resource multiplexing</w:t>
      </w:r>
      <w:r>
        <w:rPr>
          <w:rFonts w:hint="eastAsia"/>
          <w:sz w:val="20"/>
          <w:szCs w:val="22"/>
        </w:rPr>
        <w:t>.</w:t>
      </w:r>
    </w:p>
    <w:p w:rsidR="006945DF" w:rsidRDefault="0031680D" w:rsidP="003C08FB">
      <w:pPr>
        <w:pStyle w:val="ListParagraph"/>
        <w:numPr>
          <w:ilvl w:val="0"/>
          <w:numId w:val="10"/>
        </w:numPr>
        <w:spacing w:before="50" w:after="120" w:line="259" w:lineRule="auto"/>
        <w:contextualSpacing w:val="0"/>
        <w:rPr>
          <w:sz w:val="20"/>
        </w:rPr>
      </w:pPr>
      <w:r>
        <w:rPr>
          <w:sz w:val="20"/>
        </w:rPr>
        <w:t xml:space="preserve">Ambiguity of starting slot in soft resource availability indication. </w:t>
      </w:r>
    </w:p>
    <w:p w:rsidR="006945DF" w:rsidRDefault="0031680D" w:rsidP="003C08FB">
      <w:pPr>
        <w:pStyle w:val="ListParagraph"/>
        <w:numPr>
          <w:ilvl w:val="0"/>
          <w:numId w:val="10"/>
        </w:numPr>
        <w:spacing w:before="50" w:after="120" w:line="259" w:lineRule="auto"/>
        <w:contextualSpacing w:val="0"/>
        <w:rPr>
          <w:sz w:val="20"/>
        </w:rPr>
      </w:pPr>
      <w:r>
        <w:rPr>
          <w:sz w:val="20"/>
        </w:rPr>
        <w:t>The missing of details for indication of soft resource availability in case of paired spectrum.</w:t>
      </w:r>
    </w:p>
    <w:p w:rsidR="006945DF" w:rsidRDefault="0031680D">
      <w:pPr>
        <w:pStyle w:val="Heading1"/>
        <w:spacing w:before="120" w:after="120"/>
        <w:ind w:left="0"/>
        <w:rPr>
          <w:szCs w:val="22"/>
        </w:rPr>
      </w:pPr>
      <w:r>
        <w:rPr>
          <w:szCs w:val="22"/>
        </w:rPr>
        <w:t>Remaining issues</w:t>
      </w:r>
    </w:p>
    <w:p w:rsidR="006945DF" w:rsidRDefault="0031680D">
      <w:pPr>
        <w:spacing w:before="120" w:after="120"/>
        <w:rPr>
          <w:b/>
          <w:i/>
          <w:sz w:val="22"/>
          <w:szCs w:val="22"/>
          <w:u w:val="single"/>
        </w:rPr>
      </w:pPr>
      <w:r>
        <w:rPr>
          <w:b/>
          <w:i/>
          <w:sz w:val="22"/>
          <w:szCs w:val="22"/>
          <w:u w:val="single"/>
        </w:rPr>
        <w:t>Starting slot within DCI 2_5 indication</w:t>
      </w:r>
    </w:p>
    <w:p w:rsidR="006945DF" w:rsidRDefault="0031680D">
      <w:pPr>
        <w:spacing w:before="120" w:after="120"/>
        <w:rPr>
          <w:sz w:val="20"/>
        </w:rPr>
      </w:pPr>
      <w:r>
        <w:rPr>
          <w:rFonts w:hint="eastAsia"/>
          <w:sz w:val="20"/>
        </w:rPr>
        <w:t>The</w:t>
      </w:r>
      <w:r>
        <w:rPr>
          <w:sz w:val="20"/>
        </w:rPr>
        <w:t xml:space="preserve"> current </w:t>
      </w:r>
      <w:r>
        <w:rPr>
          <w:rFonts w:hint="eastAsia"/>
          <w:sz w:val="20"/>
        </w:rPr>
        <w:t>TS 38.213</w:t>
      </w:r>
      <w:r>
        <w:rPr>
          <w:sz w:val="20"/>
        </w:rPr>
        <w:t xml:space="preserve"> states the following:</w:t>
      </w:r>
    </w:p>
    <w:p w:rsidR="006945DF" w:rsidRDefault="0031680D">
      <w:pPr>
        <w:spacing w:before="120" w:after="120"/>
        <w:ind w:left="360"/>
        <w:rPr>
          <w:i/>
          <w:iCs/>
          <w:sz w:val="20"/>
        </w:rPr>
      </w:pPr>
      <w:r>
        <w:rPr>
          <w:i/>
          <w:iCs/>
          <w:sz w:val="20"/>
        </w:rPr>
        <w:t>An AI index field value in a DCI format 2_5 indicates to an IAB-node DU a soft symbol availability in each slot for a number of slots starting from a slot where the IAB-node detects the DCI format 2_5.</w:t>
      </w:r>
    </w:p>
    <w:p w:rsidR="006945DF" w:rsidRDefault="0031680D">
      <w:pPr>
        <w:spacing w:before="120" w:after="120"/>
        <w:rPr>
          <w:sz w:val="20"/>
        </w:rPr>
      </w:pPr>
      <w:r>
        <w:rPr>
          <w:sz w:val="20"/>
        </w:rPr>
        <w:t xml:space="preserve">We re-write the statement in a more precise way as following: </w:t>
      </w:r>
    </w:p>
    <w:p w:rsidR="006945DF" w:rsidRDefault="0031680D">
      <w:pPr>
        <w:spacing w:before="120" w:after="120"/>
        <w:ind w:left="360"/>
        <w:rPr>
          <w:i/>
          <w:iCs/>
          <w:sz w:val="20"/>
        </w:rPr>
      </w:pPr>
      <w:r>
        <w:rPr>
          <w:i/>
          <w:iCs/>
          <w:sz w:val="20"/>
        </w:rPr>
        <w:t>An AI index field value in a DCI format 2_5 indicates to an IAB-node DU a soft symbol availability in each [reference DU] slot for a number of [reference DU] slots starting from a [reference DU vs. actual MT?] slot where the IAB-node detects the DCI format 2_5.</w:t>
      </w:r>
    </w:p>
    <w:p w:rsidR="006945DF" w:rsidRDefault="0031680D">
      <w:pPr>
        <w:spacing w:before="120" w:after="120"/>
        <w:rPr>
          <w:sz w:val="20"/>
        </w:rPr>
      </w:pPr>
      <w:r>
        <w:rPr>
          <w:sz w:val="20"/>
        </w:rPr>
        <w:t>While it is likely the common understanding that the [reference DU] slot means the slot on DU interface with the SCS configured by</w:t>
      </w:r>
      <w:r>
        <w:rPr>
          <w:rFonts w:hint="eastAsia"/>
          <w:sz w:val="20"/>
        </w:rPr>
        <w:t xml:space="preserve"> </w:t>
      </w:r>
      <w:r>
        <w:rPr>
          <w:i/>
          <w:iCs/>
          <w:sz w:val="20"/>
        </w:rPr>
        <w:t>availabilityCombinations</w:t>
      </w:r>
      <w:r>
        <w:rPr>
          <w:rFonts w:hint="eastAsia"/>
          <w:sz w:val="20"/>
        </w:rPr>
        <w:t xml:space="preserve"> for a serving cell of IAB-DU</w:t>
      </w:r>
      <w:r>
        <w:rPr>
          <w:sz w:val="20"/>
        </w:rPr>
        <w:t>, it is unclear whether the “slot where the IAB node detects the DCI format 2_5” refers to the reference DU slot or the actual MT slot where the DCI detection occurs. The language itself can read either way due to the logics that,</w:t>
      </w:r>
    </w:p>
    <w:p w:rsidR="006945DF" w:rsidRDefault="0031680D" w:rsidP="00801D9C">
      <w:pPr>
        <w:pStyle w:val="ListParagraph"/>
        <w:numPr>
          <w:ilvl w:val="0"/>
          <w:numId w:val="11"/>
        </w:numPr>
        <w:spacing w:before="120" w:after="120"/>
        <w:ind w:left="720"/>
        <w:rPr>
          <w:sz w:val="20"/>
        </w:rPr>
      </w:pPr>
      <w:r>
        <w:rPr>
          <w:sz w:val="20"/>
        </w:rPr>
        <w:t>The starting slot of a series of reference DU slots should be logically a reference DU slot as well.</w:t>
      </w:r>
    </w:p>
    <w:p w:rsidR="006945DF" w:rsidRDefault="0031680D" w:rsidP="00801D9C">
      <w:pPr>
        <w:pStyle w:val="ListParagraph"/>
        <w:numPr>
          <w:ilvl w:val="0"/>
          <w:numId w:val="11"/>
        </w:numPr>
        <w:spacing w:before="120" w:after="120"/>
        <w:ind w:left="720"/>
        <w:rPr>
          <w:sz w:val="20"/>
        </w:rPr>
      </w:pPr>
      <w:r>
        <w:rPr>
          <w:sz w:val="20"/>
        </w:rPr>
        <w:t xml:space="preserve">On the other hand, it is normally the actual MT slot that the specification talks about where the DCI is detected.   </w:t>
      </w:r>
    </w:p>
    <w:p w:rsidR="006945DF" w:rsidRDefault="0031680D">
      <w:pPr>
        <w:spacing w:before="120" w:after="120"/>
        <w:rPr>
          <w:sz w:val="20"/>
        </w:rPr>
      </w:pPr>
      <w:r>
        <w:rPr>
          <w:sz w:val="20"/>
        </w:rPr>
        <w:t xml:space="preserve">The difference between the two terminologies may not matter too much if reference DU slot and actual MT slot share the same numerology. However, the ambiguity can arise if the reference DU slot has </w:t>
      </w:r>
      <w:r>
        <w:rPr>
          <w:rFonts w:hint="eastAsia"/>
          <w:sz w:val="20"/>
        </w:rPr>
        <w:t>different S</w:t>
      </w:r>
      <w:r>
        <w:rPr>
          <w:sz w:val="20"/>
        </w:rPr>
        <w:t xml:space="preserve">CS </w:t>
      </w:r>
      <w:r>
        <w:rPr>
          <w:rFonts w:hint="eastAsia"/>
          <w:sz w:val="20"/>
        </w:rPr>
        <w:t>from</w:t>
      </w:r>
      <w:r>
        <w:rPr>
          <w:sz w:val="20"/>
        </w:rPr>
        <w:t xml:space="preserve"> actual MT slot</w:t>
      </w:r>
      <w:r>
        <w:rPr>
          <w:rFonts w:hint="eastAsia"/>
          <w:sz w:val="20"/>
        </w:rPr>
        <w:t xml:space="preserve">. </w:t>
      </w:r>
    </w:p>
    <w:p w:rsidR="006945DF" w:rsidRDefault="00801D9C" w:rsidP="00D43F32">
      <w:pPr>
        <w:pStyle w:val="ListParagraph"/>
        <w:numPr>
          <w:ilvl w:val="0"/>
          <w:numId w:val="14"/>
        </w:numPr>
        <w:spacing w:before="120" w:after="120"/>
        <w:rPr>
          <w:sz w:val="20"/>
        </w:rPr>
      </w:pPr>
      <w:r>
        <w:rPr>
          <w:sz w:val="20"/>
        </w:rPr>
        <w:t xml:space="preserve">If “the slot” where the indicated slots start from and where </w:t>
      </w:r>
      <w:r w:rsidR="00D43F32">
        <w:rPr>
          <w:sz w:val="20"/>
        </w:rPr>
        <w:t>the DCI 2_5 detection occur</w:t>
      </w:r>
      <w:r>
        <w:rPr>
          <w:sz w:val="20"/>
        </w:rPr>
        <w:t xml:space="preserve">s </w:t>
      </w:r>
      <w:r w:rsidR="00D43F32">
        <w:rPr>
          <w:sz w:val="20"/>
        </w:rPr>
        <w:t xml:space="preserve">refers </w:t>
      </w:r>
      <w:r>
        <w:rPr>
          <w:sz w:val="20"/>
        </w:rPr>
        <w:t xml:space="preserve">to </w:t>
      </w:r>
      <w:r w:rsidR="00801949">
        <w:rPr>
          <w:sz w:val="20"/>
        </w:rPr>
        <w:t>“</w:t>
      </w:r>
      <w:r>
        <w:rPr>
          <w:sz w:val="20"/>
        </w:rPr>
        <w:t>DU slot</w:t>
      </w:r>
      <w:r w:rsidR="00801949">
        <w:rPr>
          <w:sz w:val="20"/>
        </w:rPr>
        <w:t>”</w:t>
      </w:r>
      <w:r>
        <w:rPr>
          <w:sz w:val="20"/>
        </w:rPr>
        <w:t xml:space="preserve">, </w:t>
      </w:r>
      <w:r w:rsidR="00D43F32">
        <w:rPr>
          <w:sz w:val="20"/>
        </w:rPr>
        <w:t xml:space="preserve">the ambiguity happens when DU slot has higher SCS than MT slot, as shown in Figure 1. In this case, the MT slot </w:t>
      </w:r>
      <w:r w:rsidR="0031680D" w:rsidRPr="00D43F32">
        <w:rPr>
          <w:sz w:val="20"/>
        </w:rPr>
        <w:t>contain</w:t>
      </w:r>
      <w:r w:rsidR="00D43F32">
        <w:rPr>
          <w:sz w:val="20"/>
        </w:rPr>
        <w:t xml:space="preserve">ing the resources of DCI </w:t>
      </w:r>
      <w:r w:rsidR="0031680D" w:rsidRPr="00D43F32">
        <w:rPr>
          <w:sz w:val="20"/>
        </w:rPr>
        <w:t>2_5 or even the DCI 2_5 resource itself</w:t>
      </w:r>
      <w:r w:rsidR="0031680D" w:rsidRPr="00D43F32">
        <w:rPr>
          <w:rFonts w:hint="eastAsia"/>
          <w:sz w:val="20"/>
        </w:rPr>
        <w:t xml:space="preserve"> </w:t>
      </w:r>
      <w:r w:rsidR="0031680D" w:rsidRPr="00D43F32">
        <w:rPr>
          <w:sz w:val="20"/>
        </w:rPr>
        <w:t xml:space="preserve">would </w:t>
      </w:r>
      <w:r w:rsidR="0031680D" w:rsidRPr="00D43F32">
        <w:rPr>
          <w:rFonts w:hint="eastAsia"/>
          <w:sz w:val="20"/>
        </w:rPr>
        <w:t xml:space="preserve">overlap with 2 </w:t>
      </w:r>
      <w:r w:rsidR="0031680D" w:rsidRPr="00D43F32">
        <w:rPr>
          <w:sz w:val="20"/>
        </w:rPr>
        <w:t xml:space="preserve">reference DU </w:t>
      </w:r>
      <w:r w:rsidR="0031680D" w:rsidRPr="00D43F32">
        <w:rPr>
          <w:rFonts w:hint="eastAsia"/>
          <w:sz w:val="20"/>
        </w:rPr>
        <w:t xml:space="preserve">slots, which means there could be more than one </w:t>
      </w:r>
      <w:r w:rsidR="0031680D" w:rsidRPr="00D43F32">
        <w:rPr>
          <w:sz w:val="20"/>
        </w:rPr>
        <w:t xml:space="preserve">“starting instance” for </w:t>
      </w:r>
      <w:r w:rsidR="00D43F32">
        <w:rPr>
          <w:sz w:val="20"/>
        </w:rPr>
        <w:t>an</w:t>
      </w:r>
      <w:r w:rsidR="0031680D" w:rsidRPr="00D43F32">
        <w:rPr>
          <w:sz w:val="20"/>
        </w:rPr>
        <w:t xml:space="preserve"> availability indication.</w:t>
      </w:r>
    </w:p>
    <w:p w:rsidR="00801949" w:rsidRDefault="00D43F32" w:rsidP="00D43F32">
      <w:pPr>
        <w:pStyle w:val="ListParagraph"/>
        <w:numPr>
          <w:ilvl w:val="0"/>
          <w:numId w:val="14"/>
        </w:numPr>
        <w:spacing w:before="120" w:after="120"/>
        <w:rPr>
          <w:sz w:val="20"/>
        </w:rPr>
      </w:pPr>
      <w:r>
        <w:rPr>
          <w:sz w:val="20"/>
        </w:rPr>
        <w:t xml:space="preserve">If “the slot” where the indicated slots start from and where the DCI 2_5 detection occurs refers to </w:t>
      </w:r>
      <w:r w:rsidR="00801949">
        <w:rPr>
          <w:sz w:val="20"/>
        </w:rPr>
        <w:t>“</w:t>
      </w:r>
      <w:r>
        <w:rPr>
          <w:sz w:val="20"/>
        </w:rPr>
        <w:t>MT slot</w:t>
      </w:r>
      <w:r w:rsidR="00801949">
        <w:rPr>
          <w:sz w:val="20"/>
        </w:rPr>
        <w:t>”</w:t>
      </w:r>
      <w:r>
        <w:rPr>
          <w:sz w:val="20"/>
        </w:rPr>
        <w:t xml:space="preserve">, the ambiguity happens when DU slot has lower SCS than MT slot, as shown in Figure 2. </w:t>
      </w:r>
      <w:r w:rsidR="009E573C">
        <w:rPr>
          <w:sz w:val="20"/>
        </w:rPr>
        <w:t>In this case, the DCI 2_5 detection occurs in the 2</w:t>
      </w:r>
      <w:r w:rsidR="009E573C" w:rsidRPr="009E573C">
        <w:rPr>
          <w:sz w:val="20"/>
          <w:vertAlign w:val="superscript"/>
        </w:rPr>
        <w:t>nd</w:t>
      </w:r>
      <w:r w:rsidR="009E573C">
        <w:rPr>
          <w:sz w:val="20"/>
        </w:rPr>
        <w:t xml:space="preserve"> MT slot, which means “the starting slot” does not lead a full DU slot. Then it becomes uncertain whether the indicated DU slots should count from which of the two instances as shown in Figure 2. </w:t>
      </w:r>
    </w:p>
    <w:p w:rsidR="00801949" w:rsidRDefault="00801949" w:rsidP="00801949">
      <w:pPr>
        <w:spacing w:before="120" w:after="120"/>
        <w:rPr>
          <w:sz w:val="20"/>
        </w:rPr>
      </w:pPr>
      <w:r>
        <w:rPr>
          <w:rFonts w:hint="eastAsia"/>
          <w:sz w:val="20"/>
        </w:rPr>
        <w:t xml:space="preserve">Therefore, </w:t>
      </w:r>
      <w:r>
        <w:rPr>
          <w:sz w:val="20"/>
        </w:rPr>
        <w:t xml:space="preserve">it is necessary to </w:t>
      </w:r>
    </w:p>
    <w:p w:rsidR="00801949" w:rsidRDefault="00801949" w:rsidP="00801949">
      <w:pPr>
        <w:pStyle w:val="ListParagraph"/>
        <w:numPr>
          <w:ilvl w:val="0"/>
          <w:numId w:val="15"/>
        </w:numPr>
        <w:spacing w:before="120" w:after="120"/>
        <w:rPr>
          <w:sz w:val="20"/>
        </w:rPr>
      </w:pPr>
      <w:r>
        <w:rPr>
          <w:sz w:val="20"/>
        </w:rPr>
        <w:lastRenderedPageBreak/>
        <w:t>differentiate “the slot where the indicated DU slots start” (as DU slot) and “the slot where the DCI 2_5 is detected” (as MT slot); and</w:t>
      </w:r>
    </w:p>
    <w:p w:rsidR="00D43F32" w:rsidRPr="00801949" w:rsidRDefault="00801949" w:rsidP="00801949">
      <w:pPr>
        <w:pStyle w:val="ListParagraph"/>
        <w:numPr>
          <w:ilvl w:val="0"/>
          <w:numId w:val="15"/>
        </w:numPr>
        <w:spacing w:before="120" w:after="120"/>
        <w:rPr>
          <w:sz w:val="20"/>
        </w:rPr>
      </w:pPr>
      <w:r>
        <w:rPr>
          <w:sz w:val="20"/>
        </w:rPr>
        <w:t xml:space="preserve">setup a linkage rule between the two kinds of slots, </w:t>
      </w:r>
      <w:r w:rsidRPr="00801949">
        <w:rPr>
          <w:sz w:val="20"/>
        </w:rPr>
        <w:t>e.g.</w:t>
      </w:r>
      <w:r>
        <w:rPr>
          <w:sz w:val="20"/>
        </w:rPr>
        <w:t>,</w:t>
      </w:r>
      <w:r w:rsidRPr="00801949">
        <w:rPr>
          <w:sz w:val="20"/>
        </w:rPr>
        <w:t xml:space="preserve"> using the first DU slot in overlapping as the “starting slot” of </w:t>
      </w:r>
      <w:r w:rsidRPr="00801949">
        <w:rPr>
          <w:rFonts w:hint="eastAsia"/>
          <w:sz w:val="20"/>
        </w:rPr>
        <w:t>resource availability</w:t>
      </w:r>
      <w:r w:rsidRPr="00801949">
        <w:rPr>
          <w:sz w:val="20"/>
        </w:rPr>
        <w:t xml:space="preserve"> indication.</w:t>
      </w:r>
      <w:r w:rsidR="009E573C" w:rsidRPr="00801949">
        <w:rPr>
          <w:sz w:val="20"/>
        </w:rPr>
        <w:t xml:space="preserve">  </w:t>
      </w:r>
    </w:p>
    <w:p w:rsidR="006945DF" w:rsidRDefault="00801D9C">
      <w:pPr>
        <w:spacing w:before="120" w:after="120"/>
        <w:jc w:val="center"/>
      </w:pPr>
      <w:r>
        <w:object w:dxaOrig="12125" w:dyaOrig="4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pt;height:125.9pt" o:ole="">
            <v:imagedata r:id="rId9" o:title=""/>
          </v:shape>
          <o:OLEObject Type="Embed" ProgID="Visio.Drawing.11" ShapeID="_x0000_i1025" DrawAspect="Content" ObjectID="_1658308085" r:id="rId10"/>
        </w:object>
      </w:r>
    </w:p>
    <w:p w:rsidR="006945DF" w:rsidRDefault="0031680D" w:rsidP="00801949">
      <w:pPr>
        <w:spacing w:before="120" w:after="120"/>
        <w:jc w:val="center"/>
        <w:rPr>
          <w:sz w:val="20"/>
        </w:rPr>
      </w:pPr>
      <w:r>
        <w:rPr>
          <w:rFonts w:hint="eastAsia"/>
          <w:sz w:val="20"/>
        </w:rPr>
        <w:t xml:space="preserve">Figure </w:t>
      </w:r>
      <w:r>
        <w:rPr>
          <w:sz w:val="20"/>
        </w:rPr>
        <w:t xml:space="preserve">1: SCS configured by </w:t>
      </w:r>
      <w:r>
        <w:rPr>
          <w:i/>
          <w:sz w:val="20"/>
        </w:rPr>
        <w:t>availabilityCombinations</w:t>
      </w:r>
      <w:r>
        <w:rPr>
          <w:sz w:val="20"/>
        </w:rPr>
        <w:t xml:space="preserve"> is </w:t>
      </w:r>
      <w:r>
        <w:rPr>
          <w:rFonts w:hint="eastAsia"/>
          <w:sz w:val="20"/>
        </w:rPr>
        <w:t>high</w:t>
      </w:r>
      <w:r>
        <w:rPr>
          <w:sz w:val="20"/>
        </w:rPr>
        <w:t xml:space="preserve">er than </w:t>
      </w:r>
      <w:r w:rsidR="00CA55F5">
        <w:rPr>
          <w:sz w:val="20"/>
        </w:rPr>
        <w:t xml:space="preserve">MT </w:t>
      </w:r>
      <w:r>
        <w:rPr>
          <w:sz w:val="20"/>
        </w:rPr>
        <w:t>SCS for DCI format 2_5</w:t>
      </w:r>
    </w:p>
    <w:p w:rsidR="006945DF" w:rsidRDefault="00801D9C" w:rsidP="00801D9C">
      <w:pPr>
        <w:spacing w:before="120" w:after="120"/>
        <w:jc w:val="center"/>
      </w:pPr>
      <w:r>
        <w:object w:dxaOrig="12125" w:dyaOrig="4014">
          <v:shape id="_x0000_i1026" type="#_x0000_t75" style="width:428pt;height:123.25pt" o:ole="">
            <v:imagedata r:id="rId11" o:title=""/>
          </v:shape>
          <o:OLEObject Type="Embed" ProgID="Visio.Drawing.11" ShapeID="_x0000_i1026" DrawAspect="Content" ObjectID="_1658308086" r:id="rId12"/>
        </w:object>
      </w:r>
    </w:p>
    <w:p w:rsidR="006945DF" w:rsidRDefault="0031680D" w:rsidP="00CA55F5">
      <w:pPr>
        <w:spacing w:before="120" w:after="120"/>
        <w:jc w:val="center"/>
        <w:rPr>
          <w:sz w:val="20"/>
        </w:rPr>
      </w:pPr>
      <w:r>
        <w:rPr>
          <w:rFonts w:hint="eastAsia"/>
          <w:sz w:val="20"/>
        </w:rPr>
        <w:t>Figure 2</w:t>
      </w:r>
      <w:r>
        <w:rPr>
          <w:sz w:val="20"/>
        </w:rPr>
        <w:t xml:space="preserve">: SCS configured by </w:t>
      </w:r>
      <w:r>
        <w:rPr>
          <w:i/>
          <w:sz w:val="20"/>
        </w:rPr>
        <w:t>availabilityCombinations</w:t>
      </w:r>
      <w:r>
        <w:rPr>
          <w:sz w:val="20"/>
        </w:rPr>
        <w:t xml:space="preserve"> is </w:t>
      </w:r>
      <w:r>
        <w:rPr>
          <w:rFonts w:hint="eastAsia"/>
          <w:sz w:val="20"/>
        </w:rPr>
        <w:t>lower</w:t>
      </w:r>
      <w:r>
        <w:rPr>
          <w:sz w:val="20"/>
        </w:rPr>
        <w:t xml:space="preserve"> than MT SCS for DCI format 2_5</w:t>
      </w:r>
    </w:p>
    <w:p w:rsidR="006945DF" w:rsidRDefault="0031680D">
      <w:pPr>
        <w:spacing w:before="120" w:after="120"/>
        <w:rPr>
          <w:rFonts w:eastAsiaTheme="minorEastAsia"/>
          <w:b/>
          <w:bCs/>
          <w:i/>
          <w:iCs/>
          <w:sz w:val="20"/>
          <w:szCs w:val="22"/>
        </w:rPr>
      </w:pPr>
      <w:r>
        <w:rPr>
          <w:rFonts w:eastAsiaTheme="minorEastAsia" w:hint="eastAsia"/>
          <w:b/>
          <w:bCs/>
          <w:i/>
          <w:iCs/>
          <w:sz w:val="20"/>
          <w:szCs w:val="22"/>
        </w:rPr>
        <w:t xml:space="preserve">Proposal 1: </w:t>
      </w:r>
      <w:r>
        <w:rPr>
          <w:rFonts w:eastAsiaTheme="minorEastAsia"/>
          <w:b/>
          <w:bCs/>
          <w:i/>
          <w:iCs/>
          <w:sz w:val="20"/>
          <w:szCs w:val="22"/>
        </w:rPr>
        <w:t xml:space="preserve">To adopt the following 38.213 TP for determination of starting slot of DCI 2_5 indication. </w:t>
      </w:r>
    </w:p>
    <w:tbl>
      <w:tblPr>
        <w:tblStyle w:val="TableGrid"/>
        <w:tblW w:w="0" w:type="auto"/>
        <w:tblLook w:val="04A0"/>
      </w:tblPr>
      <w:tblGrid>
        <w:gridCol w:w="9876"/>
      </w:tblGrid>
      <w:tr w:rsidR="006945DF">
        <w:tc>
          <w:tcPr>
            <w:tcW w:w="9876" w:type="dxa"/>
          </w:tcPr>
          <w:p w:rsidR="006945DF" w:rsidRDefault="0031680D">
            <w:pPr>
              <w:spacing w:before="120" w:after="120"/>
              <w:rPr>
                <w:rFonts w:eastAsiaTheme="minorEastAsia"/>
                <w:b/>
                <w:bCs/>
                <w:iCs/>
                <w:sz w:val="20"/>
                <w:szCs w:val="22"/>
              </w:rPr>
            </w:pPr>
            <w:r>
              <w:rPr>
                <w:iCs/>
                <w:sz w:val="20"/>
              </w:rPr>
              <w:t xml:space="preserve">An AI index field value in a DCI format 2_5 indicates to an IAB-node DU a soft symbol availability in each slot for a number of slots starting from </w:t>
            </w:r>
            <w:r>
              <w:rPr>
                <w:iCs/>
                <w:strike/>
                <w:color w:val="FF0000"/>
                <w:sz w:val="20"/>
              </w:rPr>
              <w:t>a</w:t>
            </w:r>
            <w:r>
              <w:rPr>
                <w:iCs/>
                <w:sz w:val="20"/>
              </w:rPr>
              <w:t xml:space="preserve"> </w:t>
            </w:r>
            <w:r>
              <w:rPr>
                <w:iCs/>
                <w:color w:val="FF0000"/>
                <w:sz w:val="20"/>
                <w:u w:val="single"/>
              </w:rPr>
              <w:t>the earliest slot that overlaps with a MT</w:t>
            </w:r>
            <w:r>
              <w:rPr>
                <w:iCs/>
                <w:sz w:val="20"/>
              </w:rPr>
              <w:t xml:space="preserve"> slot where the IAB-node detects the DCI format 2_5.</w:t>
            </w:r>
          </w:p>
        </w:tc>
      </w:tr>
    </w:tbl>
    <w:p w:rsidR="006945DF" w:rsidRDefault="0031680D">
      <w:pPr>
        <w:spacing w:before="120" w:after="120"/>
        <w:jc w:val="center"/>
        <w:rPr>
          <w:sz w:val="20"/>
        </w:rPr>
      </w:pPr>
      <w:r>
        <w:rPr>
          <w:rFonts w:eastAsiaTheme="minorEastAsia" w:hint="eastAsia"/>
          <w:b/>
          <w:bCs/>
          <w:i/>
          <w:iCs/>
          <w:sz w:val="20"/>
          <w:szCs w:val="22"/>
        </w:rPr>
        <w:t xml:space="preserve"> </w:t>
      </w:r>
    </w:p>
    <w:p w:rsidR="006945DF" w:rsidRDefault="0031680D" w:rsidP="00E43AEC">
      <w:pPr>
        <w:spacing w:beforeLines="100" w:after="120"/>
        <w:rPr>
          <w:rFonts w:eastAsiaTheme="minorEastAsia"/>
          <w:b/>
          <w:bCs/>
          <w:i/>
          <w:iCs/>
          <w:sz w:val="22"/>
          <w:szCs w:val="22"/>
          <w:u w:val="single"/>
        </w:rPr>
      </w:pPr>
      <w:r>
        <w:rPr>
          <w:rFonts w:eastAsiaTheme="minorEastAsia"/>
          <w:b/>
          <w:bCs/>
          <w:i/>
          <w:iCs/>
          <w:sz w:val="22"/>
          <w:szCs w:val="22"/>
          <w:u w:val="single"/>
        </w:rPr>
        <w:t>Indication of soft resource availability in case of paired spectrum</w:t>
      </w:r>
    </w:p>
    <w:p w:rsidR="006945DF" w:rsidRDefault="0031680D">
      <w:pPr>
        <w:spacing w:before="120" w:after="120"/>
        <w:rPr>
          <w:sz w:val="20"/>
        </w:rPr>
      </w:pPr>
      <w:r>
        <w:rPr>
          <w:rFonts w:hint="eastAsia"/>
          <w:sz w:val="20"/>
        </w:rPr>
        <w:t xml:space="preserve">For paired spectrum, RAN1#100b-e </w:t>
      </w:r>
      <w:r>
        <w:rPr>
          <w:sz w:val="20"/>
        </w:rPr>
        <w:t xml:space="preserve">reached </w:t>
      </w:r>
      <w:r>
        <w:rPr>
          <w:rFonts w:hint="eastAsia"/>
          <w:sz w:val="20"/>
        </w:rPr>
        <w:t xml:space="preserve">the </w:t>
      </w:r>
      <w:r>
        <w:rPr>
          <w:sz w:val="20"/>
        </w:rPr>
        <w:t xml:space="preserve">following </w:t>
      </w:r>
      <w:r>
        <w:rPr>
          <w:rFonts w:hint="eastAsia"/>
          <w:sz w:val="20"/>
        </w:rPr>
        <w:t>agreement</w:t>
      </w:r>
      <w:r>
        <w:rPr>
          <w:sz w:val="20"/>
        </w:rPr>
        <w:t xml:space="preserve"> [1]</w:t>
      </w:r>
      <w:r>
        <w:rPr>
          <w:rFonts w:hint="eastAsia"/>
          <w:sz w:val="20"/>
        </w:rPr>
        <w:t>:</w:t>
      </w:r>
    </w:p>
    <w:tbl>
      <w:tblPr>
        <w:tblStyle w:val="TableGrid"/>
        <w:tblW w:w="0" w:type="auto"/>
        <w:tblLook w:val="04A0"/>
      </w:tblPr>
      <w:tblGrid>
        <w:gridCol w:w="9876"/>
      </w:tblGrid>
      <w:tr w:rsidR="006945DF">
        <w:tc>
          <w:tcPr>
            <w:tcW w:w="9876" w:type="dxa"/>
          </w:tcPr>
          <w:p w:rsidR="006945DF" w:rsidRDefault="0031680D">
            <w:pPr>
              <w:spacing w:before="120" w:after="120"/>
              <w:rPr>
                <w:rFonts w:ascii="Calibri" w:hAnsi="Calibri"/>
                <w:sz w:val="20"/>
              </w:rPr>
            </w:pPr>
            <w:r>
              <w:rPr>
                <w:sz w:val="20"/>
                <w:highlight w:val="green"/>
                <w:lang w:eastAsia="ko-KR"/>
              </w:rPr>
              <w:t>Agreements</w:t>
            </w:r>
            <w:r>
              <w:rPr>
                <w:sz w:val="20"/>
              </w:rPr>
              <w:t xml:space="preserve"> For paired spectrum, the DU resource configuration framework is extended with the following:</w:t>
            </w:r>
          </w:p>
          <w:p w:rsidR="006945DF" w:rsidRDefault="0031680D">
            <w:pPr>
              <w:spacing w:before="120" w:after="120"/>
              <w:rPr>
                <w:sz w:val="20"/>
              </w:rPr>
            </w:pPr>
            <w:r>
              <w:rPr>
                <w:sz w:val="20"/>
              </w:rPr>
              <w:t>Two separate per-cell D/U/F and H/S/NA configurations are provided for DL and UL respectively.</w:t>
            </w:r>
          </w:p>
          <w:p w:rsidR="006945DF" w:rsidRDefault="0031680D">
            <w:pPr>
              <w:spacing w:before="120" w:after="120"/>
              <w:rPr>
                <w:sz w:val="20"/>
                <w:highlight w:val="green"/>
                <w:lang w:eastAsia="ko-KR"/>
              </w:rPr>
            </w:pPr>
            <w:r>
              <w:rPr>
                <w:sz w:val="20"/>
              </w:rPr>
              <w:t>Whether this signalling is supported in Rel-16 is up to RAN3 and no additional specification impact is considered in RAN1 in Rel-16 for IAB operation in paired spectrum.</w:t>
            </w:r>
          </w:p>
        </w:tc>
      </w:tr>
    </w:tbl>
    <w:p w:rsidR="006945DF" w:rsidRDefault="0031680D">
      <w:pPr>
        <w:spacing w:before="120" w:after="120"/>
        <w:rPr>
          <w:sz w:val="20"/>
        </w:rPr>
      </w:pPr>
      <w:r>
        <w:rPr>
          <w:sz w:val="20"/>
        </w:rPr>
        <w:t>RAN3[2] has accordingly provided the signaling related to D/U/F and H/S/NA configurations for DL and UL respectively in paired spectrum. The signaling are called “</w:t>
      </w:r>
      <w:r>
        <w:rPr>
          <w:b/>
          <w:bCs/>
          <w:sz w:val="20"/>
          <w:lang w:eastAsia="ja-JP"/>
        </w:rPr>
        <w:t>gNB-DU Cell Resource Configuration</w:t>
      </w:r>
      <w:r>
        <w:rPr>
          <w:b/>
          <w:sz w:val="20"/>
        </w:rPr>
        <w:t>-FDD-DL</w:t>
      </w:r>
      <w:r>
        <w:rPr>
          <w:sz w:val="20"/>
        </w:rPr>
        <w:t>” and “</w:t>
      </w:r>
      <w:r>
        <w:rPr>
          <w:b/>
          <w:bCs/>
          <w:sz w:val="20"/>
          <w:lang w:eastAsia="ja-JP"/>
        </w:rPr>
        <w:t>gNB-DU Cell Resource Configuration</w:t>
      </w:r>
      <w:r>
        <w:rPr>
          <w:b/>
          <w:sz w:val="20"/>
        </w:rPr>
        <w:t>-FDD-UL</w:t>
      </w:r>
      <w:r>
        <w:rPr>
          <w:sz w:val="20"/>
        </w:rPr>
        <w:t>”. Meanwhile, RAN3 also updated the signaling for unpaired spectrum to “</w:t>
      </w:r>
      <w:r>
        <w:rPr>
          <w:b/>
          <w:bCs/>
          <w:sz w:val="20"/>
          <w:lang w:eastAsia="ja-JP"/>
        </w:rPr>
        <w:t>gNB-DU Cell</w:t>
      </w:r>
      <w:r>
        <w:rPr>
          <w:b/>
          <w:sz w:val="20"/>
        </w:rPr>
        <w:t xml:space="preserve"> </w:t>
      </w:r>
      <w:r>
        <w:rPr>
          <w:b/>
          <w:sz w:val="20"/>
          <w:lang w:eastAsia="ja-JP"/>
        </w:rPr>
        <w:t>Resource Configuration</w:t>
      </w:r>
      <w:r>
        <w:rPr>
          <w:b/>
          <w:sz w:val="20"/>
        </w:rPr>
        <w:t>-TDD</w:t>
      </w:r>
      <w:r>
        <w:rPr>
          <w:sz w:val="20"/>
        </w:rPr>
        <w:t xml:space="preserve">”. </w:t>
      </w:r>
    </w:p>
    <w:p w:rsidR="006945DF" w:rsidRDefault="0031680D">
      <w:pPr>
        <w:spacing w:before="120" w:after="120"/>
        <w:rPr>
          <w:sz w:val="20"/>
        </w:rPr>
      </w:pPr>
      <w:r>
        <w:rPr>
          <w:sz w:val="20"/>
        </w:rPr>
        <w:lastRenderedPageBreak/>
        <w:t xml:space="preserve">For the reference SCS determination for soft resource availability indication, the current RAN1 specification only contains the text for unpaired spectrum case. The description for paired spectrum case is missing. The following RAN1 spec change should be considered to align specifications between RAN1 and RAN3.  </w:t>
      </w:r>
    </w:p>
    <w:p w:rsidR="006945DF" w:rsidRDefault="0031680D">
      <w:pPr>
        <w:pStyle w:val="ListParagraph"/>
        <w:numPr>
          <w:ilvl w:val="0"/>
          <w:numId w:val="12"/>
        </w:numPr>
        <w:spacing w:before="120" w:afterLines="0"/>
        <w:contextualSpacing w:val="0"/>
        <w:rPr>
          <w:bCs/>
          <w:i/>
          <w:iCs/>
          <w:sz w:val="20"/>
        </w:rPr>
      </w:pPr>
      <w:r>
        <w:rPr>
          <w:bCs/>
          <w:i/>
          <w:iCs/>
          <w:sz w:val="20"/>
        </w:rPr>
        <w:t>To rename the parameter “</w:t>
      </w:r>
      <w:r>
        <w:rPr>
          <w:i/>
          <w:iCs/>
          <w:sz w:val="20"/>
        </w:rPr>
        <w:t>IAB-DU-Resource-Configuration</w:t>
      </w:r>
      <w:r>
        <w:rPr>
          <w:i/>
          <w:sz w:val="20"/>
        </w:rPr>
        <w:t>-TDD-Config</w:t>
      </w:r>
      <w:r>
        <w:rPr>
          <w:bCs/>
          <w:i/>
          <w:iCs/>
          <w:sz w:val="20"/>
        </w:rPr>
        <w:t>” in 38.213 to “</w:t>
      </w:r>
      <w:r>
        <w:rPr>
          <w:i/>
          <w:iCs/>
          <w:sz w:val="20"/>
          <w:lang w:eastAsia="ja-JP"/>
        </w:rPr>
        <w:t>gNB-DU Cell</w:t>
      </w:r>
      <w:r>
        <w:rPr>
          <w:i/>
          <w:iCs/>
          <w:sz w:val="20"/>
        </w:rPr>
        <w:t xml:space="preserve"> </w:t>
      </w:r>
      <w:r>
        <w:rPr>
          <w:i/>
          <w:iCs/>
          <w:sz w:val="20"/>
          <w:lang w:eastAsia="ja-JP"/>
        </w:rPr>
        <w:t>Resource Configuration</w:t>
      </w:r>
      <w:r>
        <w:rPr>
          <w:i/>
          <w:iCs/>
          <w:sz w:val="20"/>
        </w:rPr>
        <w:t>-TDD</w:t>
      </w:r>
      <w:r>
        <w:rPr>
          <w:bCs/>
          <w:i/>
          <w:iCs/>
          <w:sz w:val="20"/>
        </w:rPr>
        <w:t>”.</w:t>
      </w:r>
    </w:p>
    <w:p w:rsidR="006945DF" w:rsidRDefault="0031680D">
      <w:pPr>
        <w:pStyle w:val="ListParagraph"/>
        <w:numPr>
          <w:ilvl w:val="0"/>
          <w:numId w:val="12"/>
        </w:numPr>
        <w:spacing w:before="120" w:afterLines="0"/>
        <w:contextualSpacing w:val="0"/>
        <w:rPr>
          <w:bCs/>
          <w:i/>
          <w:iCs/>
          <w:sz w:val="20"/>
        </w:rPr>
      </w:pPr>
      <w:r>
        <w:rPr>
          <w:bCs/>
          <w:i/>
          <w:iCs/>
          <w:sz w:val="20"/>
        </w:rPr>
        <w:t xml:space="preserve">To add following description in 38.213 for paired spectrum operation: </w:t>
      </w:r>
    </w:p>
    <w:p w:rsidR="006945DF" w:rsidRDefault="0031680D">
      <w:pPr>
        <w:pStyle w:val="ListParagraph"/>
        <w:spacing w:before="120" w:afterLines="0"/>
        <w:ind w:right="300"/>
        <w:contextualSpacing w:val="0"/>
        <w:rPr>
          <w:b/>
          <w:bCs/>
          <w:i/>
          <w:iCs/>
          <w:sz w:val="20"/>
        </w:rPr>
      </w:pPr>
      <w:r>
        <w:rPr>
          <w:i/>
          <w:sz w:val="20"/>
        </w:rPr>
        <w:t xml:space="preserve">The IAB-DU can assume a same SCS configuration for availabilityCombinations for IAB-DU downlink of a serving cell as an SCS configuration provided by </w:t>
      </w:r>
      <w:r>
        <w:rPr>
          <w:bCs/>
          <w:i/>
          <w:iCs/>
          <w:sz w:val="20"/>
          <w:lang w:eastAsia="ja-JP"/>
        </w:rPr>
        <w:t>gNB-DU Cell Resource Configuration</w:t>
      </w:r>
      <w:r>
        <w:rPr>
          <w:bCs/>
          <w:i/>
          <w:iCs/>
          <w:sz w:val="20"/>
        </w:rPr>
        <w:t>-FDD-DL</w:t>
      </w:r>
      <w:r>
        <w:rPr>
          <w:i/>
          <w:sz w:val="20"/>
        </w:rPr>
        <w:t xml:space="preserve"> for the serving cell, and a same SCS configuration for availabilityCombinations for IAB-DU uplink of a serving cell as an SCS configuration provided by </w:t>
      </w:r>
      <w:r>
        <w:rPr>
          <w:bCs/>
          <w:i/>
          <w:iCs/>
          <w:sz w:val="20"/>
          <w:lang w:eastAsia="ja-JP"/>
        </w:rPr>
        <w:t>gNB-DU Cell Resource Configuration</w:t>
      </w:r>
      <w:r>
        <w:rPr>
          <w:bCs/>
          <w:i/>
          <w:iCs/>
          <w:sz w:val="20"/>
        </w:rPr>
        <w:t>-FDD-UL</w:t>
      </w:r>
      <w:r>
        <w:rPr>
          <w:i/>
          <w:sz w:val="20"/>
        </w:rPr>
        <w:t xml:space="preserve"> for the serving cell.</w:t>
      </w:r>
      <w:r>
        <w:rPr>
          <w:sz w:val="20"/>
        </w:rPr>
        <w:t xml:space="preserve"> </w:t>
      </w:r>
    </w:p>
    <w:p w:rsidR="00DD39EC" w:rsidRDefault="0031680D">
      <w:pPr>
        <w:spacing w:before="120" w:after="120"/>
        <w:rPr>
          <w:sz w:val="20"/>
        </w:rPr>
      </w:pPr>
      <w:r>
        <w:rPr>
          <w:sz w:val="20"/>
        </w:rPr>
        <w:t>T</w:t>
      </w:r>
      <w:r>
        <w:rPr>
          <w:rFonts w:hint="eastAsia"/>
          <w:sz w:val="20"/>
        </w:rPr>
        <w:t xml:space="preserve">he current TS 38.213 also does not show how to determine the availability of soft resources for paired spectrum by DCI format 2_5. DCI format 2_5 structure is similar as DCI format 2_0 </w:t>
      </w:r>
      <w:r>
        <w:rPr>
          <w:sz w:val="20"/>
        </w:rPr>
        <w:t xml:space="preserve">for a UE in Section 11 of TS 38.213 except that </w:t>
      </w:r>
      <w:r>
        <w:rPr>
          <w:rFonts w:hint="eastAsia"/>
          <w:sz w:val="20"/>
        </w:rPr>
        <w:t>soft resources availability for</w:t>
      </w:r>
      <w:r>
        <w:rPr>
          <w:sz w:val="20"/>
        </w:rPr>
        <w:t xml:space="preserve"> an IAB-</w:t>
      </w:r>
      <w:r>
        <w:rPr>
          <w:rFonts w:hint="eastAsia"/>
          <w:sz w:val="20"/>
        </w:rPr>
        <w:t>DU</w:t>
      </w:r>
      <w:r>
        <w:rPr>
          <w:sz w:val="20"/>
        </w:rPr>
        <w:t xml:space="preserve"> can be indicated by </w:t>
      </w:r>
      <w:r>
        <w:rPr>
          <w:rFonts w:hint="eastAsia"/>
          <w:sz w:val="20"/>
        </w:rPr>
        <w:t>DCI format 2_5 and slot formats for a UE can be indicated by DCI format 2_0</w:t>
      </w:r>
      <w:r>
        <w:rPr>
          <w:sz w:val="20"/>
        </w:rPr>
        <w:t>. Consequently</w:t>
      </w:r>
      <w:r>
        <w:rPr>
          <w:rFonts w:hint="eastAsia"/>
          <w:sz w:val="20"/>
        </w:rPr>
        <w:t xml:space="preserve">, </w:t>
      </w:r>
      <w:r w:rsidR="00DD39EC">
        <w:rPr>
          <w:sz w:val="20"/>
        </w:rPr>
        <w:t>there can be two alternatives:</w:t>
      </w:r>
    </w:p>
    <w:p w:rsidR="00DD39EC" w:rsidRPr="00F12296" w:rsidRDefault="00DD39EC" w:rsidP="00DD7094">
      <w:pPr>
        <w:pStyle w:val="ListParagraph"/>
        <w:numPr>
          <w:ilvl w:val="0"/>
          <w:numId w:val="16"/>
        </w:numPr>
        <w:spacing w:before="120" w:afterLines="0" w:line="259" w:lineRule="auto"/>
        <w:contextualSpacing w:val="0"/>
        <w:rPr>
          <w:sz w:val="20"/>
        </w:rPr>
      </w:pPr>
      <w:r w:rsidRPr="00F12296">
        <w:rPr>
          <w:sz w:val="20"/>
        </w:rPr>
        <w:t xml:space="preserve">Alt1: </w:t>
      </w:r>
      <w:r w:rsidRPr="00F12296">
        <w:rPr>
          <w:rFonts w:hint="eastAsia"/>
          <w:sz w:val="20"/>
        </w:rPr>
        <w:t xml:space="preserve">to </w:t>
      </w:r>
      <w:r w:rsidRPr="00F12296">
        <w:rPr>
          <w:sz w:val="20"/>
        </w:rPr>
        <w:t>apply</w:t>
      </w:r>
      <w:r w:rsidRPr="00F12296">
        <w:rPr>
          <w:rFonts w:hint="eastAsia"/>
          <w:sz w:val="20"/>
        </w:rPr>
        <w:t xml:space="preserve"> a similar way </w:t>
      </w:r>
      <w:r w:rsidRPr="00F12296">
        <w:rPr>
          <w:sz w:val="20"/>
        </w:rPr>
        <w:t>as in</w:t>
      </w:r>
      <w:r w:rsidRPr="00F12296">
        <w:rPr>
          <w:rFonts w:hint="eastAsia"/>
          <w:sz w:val="20"/>
        </w:rPr>
        <w:t xml:space="preserve"> slot format determination </w:t>
      </w:r>
      <w:r w:rsidRPr="00F12296">
        <w:rPr>
          <w:sz w:val="20"/>
        </w:rPr>
        <w:t>with</w:t>
      </w:r>
      <w:r w:rsidRPr="00F12296">
        <w:rPr>
          <w:rFonts w:hint="eastAsia"/>
          <w:sz w:val="20"/>
        </w:rPr>
        <w:t xml:space="preserve"> DCI format 2_0 </w:t>
      </w:r>
      <w:r w:rsidRPr="00F12296">
        <w:rPr>
          <w:sz w:val="20"/>
        </w:rPr>
        <w:t>to</w:t>
      </w:r>
      <w:r w:rsidR="0031680D" w:rsidRPr="00F12296">
        <w:rPr>
          <w:rFonts w:hint="eastAsia"/>
          <w:sz w:val="20"/>
        </w:rPr>
        <w:t xml:space="preserve"> paired spectrum</w:t>
      </w:r>
      <w:r w:rsidR="00F12296" w:rsidRPr="00F12296">
        <w:rPr>
          <w:sz w:val="20"/>
        </w:rPr>
        <w:t xml:space="preserve">, i.e., for each </w:t>
      </w:r>
      <w:r w:rsidR="00F12296" w:rsidRPr="00F12296">
        <w:rPr>
          <w:position w:val="-4"/>
          <w:sz w:val="20"/>
        </w:rPr>
        <w:object w:dxaOrig="1520" w:dyaOrig="340">
          <v:shape id="_x0000_i1027" type="#_x0000_t75" style="width:76pt;height:17.25pt" o:ole="">
            <v:imagedata r:id="rId13" o:title=""/>
          </v:shape>
          <o:OLEObject Type="Embed" ProgID="Equation.3" ShapeID="_x0000_i1027" DrawAspect="Content" ObjectID="_1658308087" r:id="rId14"/>
        </w:object>
      </w:r>
      <w:r w:rsidR="00F12296" w:rsidRPr="00F12296">
        <w:rPr>
          <w:sz w:val="20"/>
        </w:rPr>
        <w:t xml:space="preserve"> values provided by </w:t>
      </w:r>
      <w:r w:rsidR="00F12296" w:rsidRPr="00F12296">
        <w:rPr>
          <w:i/>
          <w:iCs/>
          <w:sz w:val="20"/>
        </w:rPr>
        <w:t>resource</w:t>
      </w:r>
      <w:r w:rsidR="00F12296" w:rsidRPr="00F12296">
        <w:rPr>
          <w:rStyle w:val="fontstyle01"/>
          <w:color w:val="auto"/>
        </w:rPr>
        <w:t>Availability</w:t>
      </w:r>
      <w:r w:rsidR="00F12296" w:rsidRPr="00F12296">
        <w:rPr>
          <w:sz w:val="20"/>
        </w:rPr>
        <w:t xml:space="preserve">, the first </w:t>
      </w:r>
      <w:r w:rsidR="00F12296" w:rsidRPr="00F12296">
        <w:rPr>
          <w:position w:val="-10"/>
          <w:sz w:val="20"/>
        </w:rPr>
        <w:object w:dxaOrig="1840" w:dyaOrig="360">
          <v:shape id="_x0000_i1028" type="#_x0000_t75" style="width:92.3pt;height:18.1pt" o:ole="">
            <v:imagedata r:id="rId15" o:title=""/>
          </v:shape>
          <o:OLEObject Type="Embed" ProgID="Equation.3" ShapeID="_x0000_i1028" DrawAspect="Content" ObjectID="_1658308088" r:id="rId16"/>
        </w:object>
      </w:r>
      <w:r w:rsidR="00F12296" w:rsidRPr="00F12296">
        <w:rPr>
          <w:position w:val="-4"/>
          <w:sz w:val="20"/>
        </w:rPr>
        <w:t xml:space="preserve"> </w:t>
      </w:r>
      <w:r w:rsidR="00F12296" w:rsidRPr="00F12296">
        <w:rPr>
          <w:sz w:val="20"/>
        </w:rPr>
        <w:t xml:space="preserve">values for the soft symbol availability combination is applicable to </w:t>
      </w:r>
      <w:r w:rsidR="00F12296" w:rsidRPr="00F12296">
        <w:rPr>
          <w:rFonts w:hint="eastAsia"/>
          <w:sz w:val="20"/>
        </w:rPr>
        <w:t>DL carrier</w:t>
      </w:r>
      <w:r w:rsidR="00F12296" w:rsidRPr="00F12296">
        <w:rPr>
          <w:sz w:val="20"/>
        </w:rPr>
        <w:t xml:space="preserve"> and the next </w:t>
      </w:r>
      <w:r w:rsidR="00F12296" w:rsidRPr="00F12296">
        <w:rPr>
          <w:position w:val="-10"/>
          <w:sz w:val="20"/>
        </w:rPr>
        <w:object w:dxaOrig="1840" w:dyaOrig="360">
          <v:shape id="_x0000_i1029" type="#_x0000_t75" style="width:92.3pt;height:18.1pt" o:ole="">
            <v:imagedata r:id="rId17" o:title=""/>
          </v:shape>
          <o:OLEObject Type="Embed" ProgID="Equation.3" ShapeID="_x0000_i1029" DrawAspect="Content" ObjectID="_1658308089" r:id="rId18"/>
        </w:object>
      </w:r>
      <w:r w:rsidR="00F12296" w:rsidRPr="00F12296">
        <w:rPr>
          <w:sz w:val="20"/>
        </w:rPr>
        <w:t xml:space="preserve"> values are applicable to the </w:t>
      </w:r>
      <w:r w:rsidR="00F12296" w:rsidRPr="00F12296">
        <w:rPr>
          <w:rFonts w:hint="eastAsia"/>
          <w:sz w:val="20"/>
        </w:rPr>
        <w:t>UL carrier</w:t>
      </w:r>
      <w:r w:rsidR="00F12296" w:rsidRPr="00F12296">
        <w:rPr>
          <w:sz w:val="20"/>
        </w:rPr>
        <w:t>.</w:t>
      </w:r>
      <w:r w:rsidR="0031680D" w:rsidRPr="00F12296">
        <w:rPr>
          <w:sz w:val="20"/>
        </w:rPr>
        <w:t xml:space="preserve"> </w:t>
      </w:r>
    </w:p>
    <w:p w:rsidR="006945DF" w:rsidRDefault="00DD39EC" w:rsidP="00DD7094">
      <w:pPr>
        <w:pStyle w:val="ListParagraph"/>
        <w:numPr>
          <w:ilvl w:val="0"/>
          <w:numId w:val="16"/>
        </w:numPr>
        <w:spacing w:before="120" w:afterLines="0" w:line="259" w:lineRule="auto"/>
        <w:contextualSpacing w:val="0"/>
        <w:rPr>
          <w:sz w:val="20"/>
        </w:rPr>
      </w:pPr>
      <w:r>
        <w:rPr>
          <w:sz w:val="20"/>
        </w:rPr>
        <w:t xml:space="preserve">Alt2: </w:t>
      </w:r>
      <w:r w:rsidR="0031680D" w:rsidRPr="00DD39EC">
        <w:rPr>
          <w:sz w:val="20"/>
        </w:rPr>
        <w:t>to</w:t>
      </w:r>
      <w:r w:rsidR="0031680D" w:rsidRPr="00DD39EC">
        <w:rPr>
          <w:rFonts w:hint="eastAsia"/>
          <w:sz w:val="20"/>
        </w:rPr>
        <w:t xml:space="preserve"> add a parameter </w:t>
      </w:r>
      <w:r w:rsidR="0031680D" w:rsidRPr="00DD39EC">
        <w:rPr>
          <w:i/>
          <w:iCs/>
          <w:sz w:val="20"/>
        </w:rPr>
        <w:t>resource</w:t>
      </w:r>
      <w:r w:rsidR="0031680D" w:rsidRPr="00DD39EC">
        <w:rPr>
          <w:rStyle w:val="fontstyle01"/>
          <w:color w:val="auto"/>
        </w:rPr>
        <w:t>Availability</w:t>
      </w:r>
      <w:r w:rsidR="0031680D" w:rsidRPr="00DD39EC">
        <w:rPr>
          <w:rStyle w:val="fontstyle01"/>
          <w:rFonts w:hint="eastAsia"/>
          <w:color w:val="auto"/>
        </w:rPr>
        <w:t xml:space="preserve">_UL </w:t>
      </w:r>
      <w:r w:rsidR="0031680D" w:rsidRPr="00DD39EC">
        <w:rPr>
          <w:rFonts w:hint="eastAsia"/>
          <w:sz w:val="20"/>
        </w:rPr>
        <w:t>in TS38.213 for indicating resource availability for u</w:t>
      </w:r>
      <w:r>
        <w:rPr>
          <w:rFonts w:hint="eastAsia"/>
          <w:sz w:val="20"/>
        </w:rPr>
        <w:t>plink of an IAB-DU serving cell</w:t>
      </w:r>
      <w:r>
        <w:rPr>
          <w:sz w:val="20"/>
        </w:rPr>
        <w:t xml:space="preserve"> and to reuse the resource availability indication </w:t>
      </w:r>
      <w:r w:rsidR="00E43AEC">
        <w:rPr>
          <w:sz w:val="20"/>
        </w:rPr>
        <w:t xml:space="preserve">signaling </w:t>
      </w:r>
      <w:r>
        <w:rPr>
          <w:sz w:val="20"/>
        </w:rPr>
        <w:t xml:space="preserve">of unpaired spectrum for downlink of paired spectrum. </w:t>
      </w:r>
    </w:p>
    <w:p w:rsidR="00DD7094" w:rsidRPr="00DD39EC" w:rsidRDefault="002B1DE5" w:rsidP="00DD7094">
      <w:pPr>
        <w:pStyle w:val="ListParagraph"/>
        <w:spacing w:before="120" w:afterLines="0" w:line="259" w:lineRule="auto"/>
        <w:ind w:left="0"/>
        <w:contextualSpacing w:val="0"/>
        <w:rPr>
          <w:sz w:val="20"/>
        </w:rPr>
      </w:pPr>
      <w:r>
        <w:rPr>
          <w:rFonts w:hint="eastAsia"/>
          <w:sz w:val="20"/>
        </w:rPr>
        <w:t xml:space="preserve">In </w:t>
      </w:r>
      <w:r>
        <w:rPr>
          <w:sz w:val="20"/>
        </w:rPr>
        <w:t>Alt1</w:t>
      </w:r>
      <w:r w:rsidR="00DD7094">
        <w:rPr>
          <w:rFonts w:hint="eastAsia"/>
          <w:sz w:val="20"/>
        </w:rPr>
        <w:t xml:space="preserve">, the maximum number of slots that can be indicated by an </w:t>
      </w:r>
      <w:r w:rsidR="00DD7094">
        <w:rPr>
          <w:sz w:val="20"/>
        </w:rPr>
        <w:t>AI index field value</w:t>
      </w:r>
      <w:r w:rsidR="00DD7094">
        <w:rPr>
          <w:rFonts w:hint="eastAsia"/>
          <w:sz w:val="20"/>
        </w:rPr>
        <w:t xml:space="preserve"> becomes </w:t>
      </w:r>
      <w:r w:rsidR="005F0B41">
        <w:rPr>
          <w:sz w:val="20"/>
        </w:rPr>
        <w:t>fewer comparing to Alt2</w:t>
      </w:r>
      <w:r w:rsidR="000F11CF">
        <w:rPr>
          <w:sz w:val="20"/>
        </w:rPr>
        <w:t xml:space="preserve"> </w:t>
      </w:r>
      <w:r w:rsidR="000F11CF">
        <w:rPr>
          <w:rFonts w:eastAsia="SimSun" w:hint="eastAsia"/>
          <w:sz w:val="20"/>
        </w:rPr>
        <w:t>for each of uplink and downlink</w:t>
      </w:r>
      <w:r w:rsidR="00DD7094">
        <w:rPr>
          <w:rFonts w:hint="eastAsia"/>
          <w:sz w:val="20"/>
        </w:rPr>
        <w:t xml:space="preserve">. </w:t>
      </w:r>
      <w:r w:rsidR="005F0B41">
        <w:rPr>
          <w:sz w:val="20"/>
        </w:rPr>
        <w:t>Further</w:t>
      </w:r>
      <w:r w:rsidR="00DD7094">
        <w:rPr>
          <w:rFonts w:hint="eastAsia"/>
          <w:sz w:val="20"/>
        </w:rPr>
        <w:t xml:space="preserve">, </w:t>
      </w:r>
      <w:r>
        <w:rPr>
          <w:sz w:val="20"/>
        </w:rPr>
        <w:t>Alt2</w:t>
      </w:r>
      <w:r w:rsidR="00DD7094">
        <w:rPr>
          <w:rFonts w:hint="eastAsia"/>
          <w:sz w:val="20"/>
        </w:rPr>
        <w:t xml:space="preserve"> is </w:t>
      </w:r>
      <w:r>
        <w:rPr>
          <w:sz w:val="20"/>
        </w:rPr>
        <w:t xml:space="preserve">more logically straight-forward and </w:t>
      </w:r>
      <w:r w:rsidR="00DD7094">
        <w:rPr>
          <w:rFonts w:hint="eastAsia"/>
          <w:sz w:val="20"/>
        </w:rPr>
        <w:t>simpler to implement.</w:t>
      </w:r>
      <w:r w:rsidR="00FA7678">
        <w:rPr>
          <w:sz w:val="20"/>
        </w:rPr>
        <w:t xml:space="preserve"> In fact, RAN2 has the</w:t>
      </w:r>
      <w:r>
        <w:rPr>
          <w:sz w:val="20"/>
        </w:rPr>
        <w:t xml:space="preserve"> </w:t>
      </w:r>
      <w:r w:rsidR="000F11CF">
        <w:rPr>
          <w:sz w:val="20"/>
        </w:rPr>
        <w:t>corresponding</w:t>
      </w:r>
      <w:r w:rsidR="00FA7678">
        <w:rPr>
          <w:sz w:val="20"/>
        </w:rPr>
        <w:t xml:space="preserve"> discussion</w:t>
      </w:r>
      <w:r>
        <w:rPr>
          <w:sz w:val="20"/>
        </w:rPr>
        <w:t xml:space="preserve"> </w:t>
      </w:r>
      <w:r w:rsidR="00FA7678">
        <w:rPr>
          <w:sz w:val="20"/>
        </w:rPr>
        <w:t xml:space="preserve">as well </w:t>
      </w:r>
      <w:r w:rsidR="004F2AC2">
        <w:rPr>
          <w:sz w:val="20"/>
        </w:rPr>
        <w:fldChar w:fldCharType="begin"/>
      </w:r>
      <w:r w:rsidR="00C42250">
        <w:rPr>
          <w:sz w:val="20"/>
        </w:rPr>
        <w:instrText xml:space="preserve"> REF _Ref47605229 \r \h </w:instrText>
      </w:r>
      <w:r w:rsidR="004F2AC2">
        <w:rPr>
          <w:sz w:val="20"/>
        </w:rPr>
      </w:r>
      <w:r w:rsidR="004F2AC2">
        <w:rPr>
          <w:sz w:val="20"/>
        </w:rPr>
        <w:fldChar w:fldCharType="separate"/>
      </w:r>
      <w:r w:rsidR="00C42250">
        <w:rPr>
          <w:sz w:val="20"/>
        </w:rPr>
        <w:t>[3]</w:t>
      </w:r>
      <w:r w:rsidR="004F2AC2">
        <w:rPr>
          <w:sz w:val="20"/>
        </w:rPr>
        <w:fldChar w:fldCharType="end"/>
      </w:r>
      <w:bookmarkStart w:id="0" w:name="_GoBack"/>
      <w:bookmarkEnd w:id="0"/>
      <w:r>
        <w:rPr>
          <w:sz w:val="20"/>
        </w:rPr>
        <w:t xml:space="preserve">.  </w:t>
      </w:r>
    </w:p>
    <w:p w:rsidR="006945DF" w:rsidRDefault="0031680D">
      <w:pPr>
        <w:pStyle w:val="YJ-Proposal"/>
        <w:numPr>
          <w:ilvl w:val="0"/>
          <w:numId w:val="0"/>
        </w:numPr>
        <w:spacing w:before="120" w:after="120"/>
        <w:rPr>
          <w:lang w:val="en-US" w:eastAsia="zh-CN"/>
        </w:rPr>
      </w:pPr>
      <w:bookmarkStart w:id="1" w:name="_Toc354"/>
      <w:r>
        <w:rPr>
          <w:rFonts w:hint="eastAsia"/>
          <w:szCs w:val="22"/>
          <w:lang w:val="en-US" w:eastAsia="zh-CN"/>
        </w:rPr>
        <w:t xml:space="preserve">Proposal </w:t>
      </w:r>
      <w:r>
        <w:rPr>
          <w:szCs w:val="22"/>
          <w:lang w:val="en-US" w:eastAsia="zh-CN"/>
        </w:rPr>
        <w:t>2</w:t>
      </w:r>
      <w:r>
        <w:rPr>
          <w:rFonts w:hint="eastAsia"/>
          <w:szCs w:val="22"/>
          <w:lang w:val="en-US" w:eastAsia="zh-CN"/>
        </w:rPr>
        <w:t>:</w:t>
      </w:r>
      <w:r>
        <w:rPr>
          <w:szCs w:val="22"/>
          <w:lang w:val="en-US" w:eastAsia="zh-CN"/>
        </w:rPr>
        <w:t xml:space="preserve"> </w:t>
      </w:r>
      <w:bookmarkEnd w:id="1"/>
      <w:r>
        <w:rPr>
          <w:lang w:val="en-US" w:eastAsia="zh-CN"/>
        </w:rPr>
        <w:t>To adopt</w:t>
      </w:r>
      <w:r>
        <w:rPr>
          <w:rFonts w:hint="eastAsia"/>
          <w:lang w:val="en-US" w:eastAsia="zh-CN"/>
        </w:rPr>
        <w:t xml:space="preserve"> </w:t>
      </w:r>
      <w:r w:rsidR="002B1DE5">
        <w:rPr>
          <w:lang w:val="en-US" w:eastAsia="zh-CN"/>
        </w:rPr>
        <w:t xml:space="preserve">following 38.213 </w:t>
      </w:r>
      <w:r>
        <w:rPr>
          <w:rFonts w:hint="eastAsia"/>
          <w:lang w:val="en-US" w:eastAsia="zh-CN"/>
        </w:rPr>
        <w:t xml:space="preserve">TPs </w:t>
      </w:r>
      <w:r>
        <w:rPr>
          <w:lang w:val="en-US" w:eastAsia="zh-CN"/>
        </w:rPr>
        <w:t>in</w:t>
      </w:r>
      <w:r>
        <w:rPr>
          <w:rFonts w:hint="eastAsia"/>
          <w:lang w:val="en-US" w:eastAsia="zh-CN"/>
        </w:rPr>
        <w:t xml:space="preserve"> determining the availability of soft resources for paired spectrum.</w:t>
      </w:r>
    </w:p>
    <w:tbl>
      <w:tblPr>
        <w:tblStyle w:val="TableGrid"/>
        <w:tblW w:w="0" w:type="auto"/>
        <w:tblLook w:val="04A0"/>
      </w:tblPr>
      <w:tblGrid>
        <w:gridCol w:w="9876"/>
      </w:tblGrid>
      <w:tr w:rsidR="006945DF">
        <w:tc>
          <w:tcPr>
            <w:tcW w:w="9876" w:type="dxa"/>
          </w:tcPr>
          <w:p w:rsidR="006945DF" w:rsidRDefault="0031680D">
            <w:pPr>
              <w:pStyle w:val="Heading1"/>
              <w:numPr>
                <w:ilvl w:val="0"/>
                <w:numId w:val="0"/>
              </w:numPr>
              <w:tabs>
                <w:tab w:val="left" w:pos="1134"/>
              </w:tabs>
              <w:spacing w:before="120" w:after="120"/>
              <w:outlineLvl w:val="0"/>
            </w:pPr>
            <w:r>
              <w:lastRenderedPageBreak/>
              <w:t>14</w:t>
            </w:r>
            <w:r>
              <w:rPr>
                <w:rFonts w:hint="eastAsia"/>
              </w:rPr>
              <w:tab/>
            </w:r>
            <w:r>
              <w:t xml:space="preserve">Integrated access-backhaul operation </w:t>
            </w:r>
          </w:p>
          <w:p w:rsidR="006945DF" w:rsidRDefault="0031680D">
            <w:pPr>
              <w:spacing w:before="120" w:after="120"/>
              <w:jc w:val="center"/>
            </w:pPr>
            <w:r>
              <w:rPr>
                <w:color w:val="FF0000"/>
                <w:sz w:val="20"/>
              </w:rPr>
              <w:t>&lt; Unchanged parts are omitted &gt;</w:t>
            </w:r>
          </w:p>
          <w:p w:rsidR="006945DF" w:rsidRDefault="0031680D">
            <w:pPr>
              <w:spacing w:before="120" w:after="120"/>
              <w:rPr>
                <w:sz w:val="20"/>
              </w:rPr>
            </w:pPr>
            <w:r>
              <w:rPr>
                <w:sz w:val="20"/>
              </w:rPr>
              <w:t xml:space="preserve">For each serving cell of an IAB-DU in a set of serving cells of the IAB-DU, the IAB-DU can be provided: </w:t>
            </w:r>
          </w:p>
          <w:p w:rsidR="006945DF" w:rsidRDefault="0031680D">
            <w:pPr>
              <w:pStyle w:val="B1"/>
              <w:spacing w:before="120" w:after="120"/>
              <w:rPr>
                <w:sz w:val="20"/>
              </w:rPr>
            </w:pPr>
            <w:r>
              <w:rPr>
                <w:sz w:val="20"/>
              </w:rPr>
              <w:t>-</w:t>
            </w:r>
            <w:r>
              <w:rPr>
                <w:sz w:val="20"/>
              </w:rPr>
              <w:tab/>
              <w:t xml:space="preserve">an identity of the IAB-DU serving cell by </w:t>
            </w:r>
            <w:r>
              <w:rPr>
                <w:rStyle w:val="fontstyle01"/>
              </w:rPr>
              <w:t>iabDuCellId-AI</w:t>
            </w:r>
          </w:p>
          <w:p w:rsidR="006945DF" w:rsidRDefault="0031680D">
            <w:pPr>
              <w:pStyle w:val="B1"/>
              <w:spacing w:before="120" w:after="120"/>
              <w:rPr>
                <w:sz w:val="20"/>
              </w:rPr>
            </w:pPr>
            <w:r>
              <w:rPr>
                <w:sz w:val="20"/>
              </w:rPr>
              <w:t>-</w:t>
            </w:r>
            <w:r>
              <w:rPr>
                <w:sz w:val="20"/>
              </w:rPr>
              <w:tab/>
              <w:t xml:space="preserve">a location of an availability indicator (AI) index field in DCI format 2_5 by </w:t>
            </w:r>
            <w:r>
              <w:rPr>
                <w:rStyle w:val="fontstyle01"/>
              </w:rPr>
              <w:t>positionInDCI-AI</w:t>
            </w:r>
          </w:p>
          <w:p w:rsidR="006945DF" w:rsidRDefault="0031680D">
            <w:pPr>
              <w:pStyle w:val="B1"/>
              <w:spacing w:before="120" w:after="120"/>
              <w:rPr>
                <w:sz w:val="20"/>
              </w:rPr>
            </w:pPr>
            <w:r>
              <w:rPr>
                <w:sz w:val="20"/>
              </w:rPr>
              <w:t>-</w:t>
            </w:r>
            <w:r>
              <w:rPr>
                <w:sz w:val="20"/>
              </w:rPr>
              <w:tab/>
              <w:t xml:space="preserve">a set of availability combinations by </w:t>
            </w:r>
            <w:r>
              <w:rPr>
                <w:rStyle w:val="fontstyle01"/>
              </w:rPr>
              <w:t>availabilityCombinations</w:t>
            </w:r>
            <w:r>
              <w:rPr>
                <w:sz w:val="20"/>
              </w:rPr>
              <w:t>, where each availability combination in the set of availability combinations includes</w:t>
            </w:r>
          </w:p>
          <w:p w:rsidR="006945DF" w:rsidRDefault="0031680D">
            <w:pPr>
              <w:pStyle w:val="B2"/>
              <w:tabs>
                <w:tab w:val="left" w:pos="914"/>
              </w:tabs>
              <w:spacing w:before="120" w:after="120"/>
              <w:ind w:left="720"/>
              <w:rPr>
                <w:color w:val="FF0000"/>
                <w:sz w:val="20"/>
                <w:u w:val="single"/>
              </w:rPr>
            </w:pPr>
            <w:r>
              <w:rPr>
                <w:color w:val="FF0000"/>
                <w:sz w:val="20"/>
                <w:u w:val="single"/>
              </w:rPr>
              <w:t>-</w:t>
            </w:r>
            <w:r>
              <w:rPr>
                <w:color w:val="FF0000"/>
                <w:sz w:val="20"/>
                <w:u w:val="single"/>
              </w:rPr>
              <w:tab/>
            </w:r>
            <w:r>
              <w:rPr>
                <w:rFonts w:hint="eastAsia"/>
                <w:color w:val="FF0000"/>
                <w:sz w:val="20"/>
                <w:u w:val="single"/>
              </w:rPr>
              <w:t>for unpaired spectrum operation</w:t>
            </w:r>
            <w:r>
              <w:rPr>
                <w:color w:val="FF0000"/>
                <w:sz w:val="20"/>
                <w:u w:val="single"/>
              </w:rPr>
              <w:t>,</w:t>
            </w:r>
          </w:p>
          <w:p w:rsidR="006945DF" w:rsidRDefault="0031680D">
            <w:pPr>
              <w:pStyle w:val="B2"/>
              <w:spacing w:before="120" w:after="120"/>
              <w:ind w:left="1260" w:hanging="270"/>
              <w:rPr>
                <w:sz w:val="20"/>
              </w:rPr>
            </w:pPr>
            <w:r>
              <w:rPr>
                <w:sz w:val="20"/>
              </w:rPr>
              <w:t>-</w:t>
            </w:r>
            <w:r>
              <w:rPr>
                <w:sz w:val="20"/>
              </w:rPr>
              <w:tab/>
            </w:r>
            <w:r>
              <w:rPr>
                <w:rStyle w:val="fontstyle01"/>
              </w:rPr>
              <w:t>resourceAvailability</w:t>
            </w:r>
            <w:r>
              <w:rPr>
                <w:sz w:val="20"/>
              </w:rPr>
              <w:t xml:space="preserve"> indicating availability of soft symbols in one or more slots for the IAB-DU serving cell, and </w:t>
            </w:r>
          </w:p>
          <w:p w:rsidR="006945DF" w:rsidRDefault="0031680D">
            <w:pPr>
              <w:pStyle w:val="B2"/>
              <w:spacing w:before="120" w:after="120"/>
              <w:ind w:left="1260" w:hanging="270"/>
              <w:rPr>
                <w:sz w:val="20"/>
              </w:rPr>
            </w:pPr>
            <w:r>
              <w:rPr>
                <w:sz w:val="20"/>
              </w:rPr>
              <w:t>-</w:t>
            </w:r>
            <w:r>
              <w:rPr>
                <w:sz w:val="20"/>
              </w:rPr>
              <w:tab/>
              <w:t xml:space="preserve">a mapping for the soft symbol availability combinations provided by </w:t>
            </w:r>
            <w:r>
              <w:rPr>
                <w:i/>
                <w:iCs/>
                <w:sz w:val="20"/>
              </w:rPr>
              <w:t>resource</w:t>
            </w:r>
            <w:r>
              <w:rPr>
                <w:rStyle w:val="fontstyle01"/>
              </w:rPr>
              <w:t>Availability</w:t>
            </w:r>
            <w:r>
              <w:rPr>
                <w:sz w:val="20"/>
              </w:rPr>
              <w:t xml:space="preserve"> to a corresponding AI index field value in DCI format 2_5 provided by </w:t>
            </w:r>
            <w:r>
              <w:rPr>
                <w:rStyle w:val="fontstyle01"/>
              </w:rPr>
              <w:t>availabilityCombinationId</w:t>
            </w:r>
          </w:p>
          <w:p w:rsidR="006945DF" w:rsidRDefault="0031680D">
            <w:pPr>
              <w:pStyle w:val="B2"/>
              <w:tabs>
                <w:tab w:val="left" w:pos="900"/>
              </w:tabs>
              <w:spacing w:before="120" w:after="120"/>
              <w:ind w:left="720"/>
              <w:rPr>
                <w:color w:val="FF0000"/>
                <w:sz w:val="20"/>
                <w:u w:val="single"/>
              </w:rPr>
            </w:pPr>
            <w:r>
              <w:rPr>
                <w:color w:val="FF0000"/>
                <w:sz w:val="20"/>
                <w:u w:val="single"/>
              </w:rPr>
              <w:t>-</w:t>
            </w:r>
            <w:r>
              <w:rPr>
                <w:color w:val="FF0000"/>
                <w:sz w:val="20"/>
                <w:u w:val="single"/>
              </w:rPr>
              <w:tab/>
            </w:r>
            <w:r>
              <w:rPr>
                <w:rFonts w:hint="eastAsia"/>
                <w:color w:val="FF0000"/>
                <w:sz w:val="20"/>
                <w:u w:val="single"/>
              </w:rPr>
              <w:t>for paired spectrum operation</w:t>
            </w:r>
          </w:p>
          <w:p w:rsidR="006945DF" w:rsidRDefault="0031680D">
            <w:pPr>
              <w:pStyle w:val="B2"/>
              <w:spacing w:before="120" w:after="120"/>
              <w:ind w:leftChars="471" w:left="1259" w:hanging="270"/>
              <w:rPr>
                <w:color w:val="FF0000"/>
                <w:sz w:val="20"/>
                <w:u w:val="single"/>
              </w:rPr>
            </w:pPr>
            <w:r>
              <w:rPr>
                <w:color w:val="FF0000"/>
                <w:sz w:val="20"/>
                <w:u w:val="single"/>
              </w:rPr>
              <w:t>-</w:t>
            </w:r>
            <w:r>
              <w:rPr>
                <w:color w:val="FF0000"/>
                <w:sz w:val="20"/>
                <w:u w:val="single"/>
              </w:rPr>
              <w:tab/>
            </w:r>
            <w:r>
              <w:rPr>
                <w:rStyle w:val="fontstyle01"/>
                <w:color w:val="FF0000"/>
                <w:u w:val="single"/>
              </w:rPr>
              <w:t>resourceAvailability</w:t>
            </w:r>
            <w:r>
              <w:rPr>
                <w:color w:val="FF0000"/>
                <w:sz w:val="20"/>
                <w:u w:val="single"/>
              </w:rPr>
              <w:t xml:space="preserve"> indicating availability of soft symbols in one or more slots </w:t>
            </w:r>
            <w:r>
              <w:rPr>
                <w:rFonts w:hint="eastAsia"/>
                <w:color w:val="FF0000"/>
                <w:sz w:val="20"/>
                <w:u w:val="single"/>
              </w:rPr>
              <w:t xml:space="preserve">for downlink </w:t>
            </w:r>
            <w:r>
              <w:rPr>
                <w:color w:val="FF0000"/>
                <w:sz w:val="20"/>
                <w:u w:val="single"/>
              </w:rPr>
              <w:t xml:space="preserve">for the IAB-DU serving cell, and </w:t>
            </w:r>
          </w:p>
          <w:p w:rsidR="006945DF" w:rsidRDefault="0031680D">
            <w:pPr>
              <w:pStyle w:val="B2"/>
              <w:spacing w:before="120" w:after="120"/>
              <w:ind w:leftChars="471" w:left="1259" w:hanging="270"/>
              <w:rPr>
                <w:color w:val="FF0000"/>
                <w:sz w:val="20"/>
                <w:u w:val="single"/>
              </w:rPr>
            </w:pPr>
            <w:r>
              <w:rPr>
                <w:color w:val="FF0000"/>
                <w:sz w:val="20"/>
                <w:u w:val="single"/>
              </w:rPr>
              <w:t>-</w:t>
            </w:r>
            <w:r>
              <w:rPr>
                <w:color w:val="FF0000"/>
                <w:sz w:val="20"/>
                <w:u w:val="single"/>
              </w:rPr>
              <w:tab/>
            </w:r>
            <w:r>
              <w:rPr>
                <w:rStyle w:val="fontstyle01"/>
                <w:color w:val="FF0000"/>
                <w:u w:val="single"/>
              </w:rPr>
              <w:t>resourceAvailability</w:t>
            </w:r>
            <w:r>
              <w:rPr>
                <w:rStyle w:val="fontstyle01"/>
                <w:rFonts w:hint="eastAsia"/>
                <w:color w:val="FF0000"/>
                <w:u w:val="single"/>
              </w:rPr>
              <w:t>_UL</w:t>
            </w:r>
            <w:r>
              <w:rPr>
                <w:color w:val="FF0000"/>
                <w:sz w:val="20"/>
                <w:u w:val="single"/>
              </w:rPr>
              <w:t xml:space="preserve"> indicating availability of soft symbols in one or more slots </w:t>
            </w:r>
            <w:r>
              <w:rPr>
                <w:rFonts w:hint="eastAsia"/>
                <w:color w:val="FF0000"/>
                <w:sz w:val="20"/>
                <w:u w:val="single"/>
              </w:rPr>
              <w:t xml:space="preserve">for uplink </w:t>
            </w:r>
            <w:r>
              <w:rPr>
                <w:color w:val="FF0000"/>
                <w:sz w:val="20"/>
                <w:u w:val="single"/>
              </w:rPr>
              <w:t>for the IAB-DU serving cell, and</w:t>
            </w:r>
          </w:p>
          <w:p w:rsidR="006945DF" w:rsidRDefault="0031680D">
            <w:pPr>
              <w:pStyle w:val="B2"/>
              <w:spacing w:before="120" w:after="120"/>
              <w:ind w:leftChars="471" w:left="1259" w:hanging="270"/>
              <w:rPr>
                <w:rStyle w:val="fontstyle01"/>
                <w:color w:val="FF0000"/>
              </w:rPr>
            </w:pPr>
            <w:r>
              <w:rPr>
                <w:color w:val="FF0000"/>
                <w:sz w:val="20"/>
                <w:u w:val="single"/>
              </w:rPr>
              <w:t>-</w:t>
            </w:r>
            <w:r>
              <w:rPr>
                <w:color w:val="FF0000"/>
                <w:sz w:val="20"/>
                <w:u w:val="single"/>
              </w:rPr>
              <w:tab/>
              <w:t xml:space="preserve">a mapping for the soft symbol availability combinations provided by </w:t>
            </w:r>
            <w:r>
              <w:rPr>
                <w:i/>
                <w:iCs/>
                <w:color w:val="FF0000"/>
                <w:sz w:val="20"/>
                <w:u w:val="single"/>
              </w:rPr>
              <w:t>resource</w:t>
            </w:r>
            <w:r>
              <w:rPr>
                <w:rStyle w:val="fontstyle01"/>
                <w:color w:val="FF0000"/>
                <w:u w:val="single"/>
              </w:rPr>
              <w:t>Availability</w:t>
            </w:r>
            <w:r>
              <w:rPr>
                <w:color w:val="FF0000"/>
                <w:sz w:val="20"/>
                <w:u w:val="single"/>
              </w:rPr>
              <w:t xml:space="preserve"> </w:t>
            </w:r>
            <w:r>
              <w:rPr>
                <w:rFonts w:hint="eastAsia"/>
                <w:color w:val="FF0000"/>
                <w:sz w:val="20"/>
                <w:u w:val="single"/>
              </w:rPr>
              <w:t xml:space="preserve">and </w:t>
            </w:r>
            <w:r>
              <w:rPr>
                <w:rStyle w:val="fontstyle01"/>
                <w:color w:val="FF0000"/>
                <w:u w:val="single"/>
              </w:rPr>
              <w:t>resourceAvailability</w:t>
            </w:r>
            <w:r>
              <w:rPr>
                <w:rStyle w:val="fontstyle01"/>
                <w:rFonts w:hint="eastAsia"/>
                <w:color w:val="FF0000"/>
                <w:u w:val="single"/>
              </w:rPr>
              <w:t>_UL</w:t>
            </w:r>
            <w:r>
              <w:rPr>
                <w:rFonts w:hint="eastAsia"/>
                <w:color w:val="FF0000"/>
                <w:sz w:val="20"/>
                <w:u w:val="single"/>
              </w:rPr>
              <w:t xml:space="preserve"> </w:t>
            </w:r>
            <w:r>
              <w:rPr>
                <w:color w:val="FF0000"/>
                <w:sz w:val="20"/>
                <w:u w:val="single"/>
              </w:rPr>
              <w:t xml:space="preserve">to a corresponding AI index field value in DCI format 2_5 provided by </w:t>
            </w:r>
            <w:r>
              <w:rPr>
                <w:rStyle w:val="fontstyle01"/>
                <w:color w:val="FF0000"/>
                <w:u w:val="single"/>
              </w:rPr>
              <w:t>availabilityCombinationId</w:t>
            </w:r>
          </w:p>
          <w:p w:rsidR="006945DF" w:rsidRDefault="0031680D">
            <w:pPr>
              <w:spacing w:before="120" w:after="120"/>
              <w:rPr>
                <w:sz w:val="20"/>
              </w:rPr>
            </w:pPr>
            <w:r>
              <w:rPr>
                <w:color w:val="FF0000"/>
                <w:sz w:val="20"/>
                <w:u w:val="single"/>
              </w:rPr>
              <w:t xml:space="preserve">For unpaired spectrum operation, </w:t>
            </w:r>
            <w:r>
              <w:rPr>
                <w:strike/>
                <w:color w:val="FF0000"/>
                <w:sz w:val="20"/>
                <w:u w:val="single"/>
              </w:rPr>
              <w:t>T</w:t>
            </w:r>
            <w:r>
              <w:rPr>
                <w:color w:val="FF0000"/>
                <w:sz w:val="20"/>
                <w:u w:val="single"/>
              </w:rPr>
              <w:t>t</w:t>
            </w:r>
            <w:r>
              <w:rPr>
                <w:sz w:val="20"/>
              </w:rPr>
              <w:t xml:space="preserve">he IAB-DU can assume a same SCS configuration for </w:t>
            </w:r>
            <w:r>
              <w:rPr>
                <w:i/>
                <w:sz w:val="20"/>
              </w:rPr>
              <w:t>availabilityCombinations</w:t>
            </w:r>
            <w:r>
              <w:rPr>
                <w:sz w:val="20"/>
              </w:rPr>
              <w:t xml:space="preserve"> for a serving cell as an SCS configuration provided by </w:t>
            </w:r>
            <w:r>
              <w:rPr>
                <w:i/>
                <w:iCs/>
                <w:strike/>
                <w:color w:val="FF0000"/>
                <w:sz w:val="20"/>
              </w:rPr>
              <w:t>IAB-DU-Resource-Configuration</w:t>
            </w:r>
            <w:r>
              <w:rPr>
                <w:i/>
                <w:strike/>
                <w:color w:val="FF0000"/>
                <w:sz w:val="20"/>
              </w:rPr>
              <w:t>-TDD-Config</w:t>
            </w:r>
            <w:r>
              <w:rPr>
                <w:sz w:val="20"/>
              </w:rPr>
              <w:t xml:space="preserve"> </w:t>
            </w:r>
            <w:r>
              <w:rPr>
                <w:i/>
                <w:iCs/>
                <w:color w:val="FF0000"/>
                <w:sz w:val="20"/>
                <w:u w:val="single"/>
                <w:lang w:eastAsia="ja-JP"/>
              </w:rPr>
              <w:t>gNB-DU Cell</w:t>
            </w:r>
            <w:r>
              <w:rPr>
                <w:i/>
                <w:iCs/>
                <w:color w:val="FF0000"/>
                <w:sz w:val="20"/>
                <w:u w:val="single"/>
              </w:rPr>
              <w:t xml:space="preserve"> </w:t>
            </w:r>
            <w:r>
              <w:rPr>
                <w:i/>
                <w:iCs/>
                <w:color w:val="FF0000"/>
                <w:sz w:val="20"/>
                <w:u w:val="single"/>
                <w:lang w:eastAsia="ja-JP"/>
              </w:rPr>
              <w:t>Resource Configuration</w:t>
            </w:r>
            <w:r>
              <w:rPr>
                <w:i/>
                <w:iCs/>
                <w:color w:val="FF0000"/>
                <w:sz w:val="20"/>
                <w:u w:val="single"/>
              </w:rPr>
              <w:t>-TDD</w:t>
            </w:r>
            <w:r>
              <w:rPr>
                <w:sz w:val="20"/>
              </w:rPr>
              <w:t xml:space="preserve"> for the serving cell.</w:t>
            </w:r>
          </w:p>
          <w:p w:rsidR="006945DF" w:rsidRDefault="0031680D">
            <w:pPr>
              <w:spacing w:before="120" w:after="120"/>
              <w:rPr>
                <w:color w:val="FF0000"/>
                <w:sz w:val="20"/>
                <w:u w:val="single"/>
              </w:rPr>
            </w:pPr>
            <w:r>
              <w:rPr>
                <w:color w:val="FF0000"/>
                <w:sz w:val="20"/>
                <w:u w:val="single"/>
              </w:rPr>
              <w:t xml:space="preserve">For paired spectrum operation, the IAB-DU can assume a same SCS configuration for </w:t>
            </w:r>
            <w:r>
              <w:rPr>
                <w:i/>
                <w:color w:val="FF0000"/>
                <w:sz w:val="20"/>
                <w:u w:val="single"/>
              </w:rPr>
              <w:t xml:space="preserve">availabilityCombinations </w:t>
            </w:r>
            <w:r>
              <w:rPr>
                <w:color w:val="FF0000"/>
                <w:sz w:val="20"/>
                <w:u w:val="single"/>
              </w:rPr>
              <w:t xml:space="preserve">for IAB-DU downlink of a serving cell as an SCS configuration provided by </w:t>
            </w:r>
            <w:r>
              <w:rPr>
                <w:bCs/>
                <w:i/>
                <w:iCs/>
                <w:color w:val="FF0000"/>
                <w:sz w:val="20"/>
                <w:u w:val="single"/>
                <w:lang w:eastAsia="ja-JP"/>
              </w:rPr>
              <w:t>gNB-DU Cell Resource Configuration</w:t>
            </w:r>
            <w:r>
              <w:rPr>
                <w:bCs/>
                <w:i/>
                <w:iCs/>
                <w:color w:val="FF0000"/>
                <w:sz w:val="20"/>
                <w:u w:val="single"/>
              </w:rPr>
              <w:t>-FDD-DL</w:t>
            </w:r>
            <w:r>
              <w:rPr>
                <w:color w:val="FF0000"/>
                <w:sz w:val="20"/>
                <w:u w:val="single"/>
              </w:rPr>
              <w:t xml:space="preserve"> for the serving cell, and a same SCS configuration for </w:t>
            </w:r>
            <w:r>
              <w:rPr>
                <w:i/>
                <w:color w:val="FF0000"/>
                <w:sz w:val="20"/>
                <w:u w:val="single"/>
              </w:rPr>
              <w:t xml:space="preserve">availabilityCombinations </w:t>
            </w:r>
            <w:r>
              <w:rPr>
                <w:color w:val="FF0000"/>
                <w:sz w:val="20"/>
                <w:u w:val="single"/>
              </w:rPr>
              <w:t xml:space="preserve">for IAB-DU uplink of a serving cell as an SCS configuration provided by </w:t>
            </w:r>
            <w:r>
              <w:rPr>
                <w:bCs/>
                <w:i/>
                <w:iCs/>
                <w:color w:val="FF0000"/>
                <w:sz w:val="20"/>
                <w:u w:val="single"/>
                <w:lang w:eastAsia="ja-JP"/>
              </w:rPr>
              <w:t>gNB-DU Cell Resource Configuration</w:t>
            </w:r>
            <w:r>
              <w:rPr>
                <w:bCs/>
                <w:i/>
                <w:iCs/>
                <w:color w:val="FF0000"/>
                <w:sz w:val="20"/>
                <w:u w:val="single"/>
              </w:rPr>
              <w:t>-FDD-UL</w:t>
            </w:r>
            <w:r>
              <w:rPr>
                <w:color w:val="FF0000"/>
                <w:sz w:val="20"/>
                <w:u w:val="single"/>
              </w:rPr>
              <w:t xml:space="preserve"> for the serving cell.</w:t>
            </w:r>
          </w:p>
          <w:p w:rsidR="006945DF" w:rsidRDefault="0031680D">
            <w:pPr>
              <w:spacing w:before="120" w:after="120"/>
              <w:rPr>
                <w:sz w:val="20"/>
              </w:rPr>
            </w:pPr>
            <w:r>
              <w:rPr>
                <w:sz w:val="20"/>
              </w:rPr>
              <w:t xml:space="preserve">An AI index field value in a DCI format 2_5 indicates to an IAB-DU a soft symbol availability in each slot for a number of slots starting from a slot where the IAB-node detects the DCI format 2_5. The number of slots is equal to or larger than a PDCCH monitoring periodicity for DCI format 2_5 as provided by </w:t>
            </w:r>
            <w:r>
              <w:rPr>
                <w:bCs/>
                <w:i/>
                <w:iCs/>
                <w:sz w:val="20"/>
              </w:rPr>
              <w:t>SearchSpace</w:t>
            </w:r>
            <w:r>
              <w:rPr>
                <w:sz w:val="20"/>
              </w:rPr>
              <w:t xml:space="preserve">. The AI index field includes </w:t>
            </w:r>
            <w:r>
              <w:rPr>
                <w:noProof/>
                <w:position w:val="-10"/>
                <w:sz w:val="20"/>
              </w:rPr>
              <w:drawing>
                <wp:inline distT="0" distB="0" distL="0" distR="0">
                  <wp:extent cx="1645920" cy="18288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9" cstate="print"/>
                          <a:srcRect/>
                          <a:stretch>
                            <a:fillRect/>
                          </a:stretch>
                        </pic:blipFill>
                        <pic:spPr>
                          <a:xfrm>
                            <a:off x="0" y="0"/>
                            <a:ext cx="1645920" cy="182880"/>
                          </a:xfrm>
                          <a:prstGeom prst="rect">
                            <a:avLst/>
                          </a:prstGeom>
                          <a:noFill/>
                          <a:ln w="9525">
                            <a:noFill/>
                            <a:miter lim="800000"/>
                            <a:headEnd/>
                            <a:tailEnd/>
                          </a:ln>
                        </pic:spPr>
                      </pic:pic>
                    </a:graphicData>
                  </a:graphic>
                </wp:inline>
              </w:drawing>
            </w:r>
            <w:r>
              <w:rPr>
                <w:sz w:val="20"/>
              </w:rPr>
              <w:t xml:space="preserve"> bits where maxAIindex is the maximum of the values provided by corresponding </w:t>
            </w:r>
            <w:r>
              <w:rPr>
                <w:rStyle w:val="fontstyle01"/>
              </w:rPr>
              <w:t>availabilityCombinationId</w:t>
            </w:r>
            <w:r>
              <w:rPr>
                <w:sz w:val="20"/>
              </w:rPr>
              <w:t xml:space="preserve">. An availability for a soft symbol in a slot is identified by a corresponding value </w:t>
            </w:r>
            <w:r>
              <w:rPr>
                <w:rStyle w:val="fontstyle01"/>
              </w:rPr>
              <w:t>resourceAvailability</w:t>
            </w:r>
            <w:r>
              <w:rPr>
                <w:sz w:val="20"/>
              </w:rPr>
              <w:t xml:space="preserve"> </w:t>
            </w:r>
            <w:r>
              <w:rPr>
                <w:rFonts w:hint="eastAsia"/>
                <w:color w:val="FF0000"/>
                <w:sz w:val="20"/>
                <w:u w:val="single"/>
              </w:rPr>
              <w:t xml:space="preserve">or </w:t>
            </w:r>
            <w:r>
              <w:rPr>
                <w:rStyle w:val="fontstyle01"/>
                <w:color w:val="FF0000"/>
                <w:u w:val="single"/>
              </w:rPr>
              <w:t>resourceAvailability</w:t>
            </w:r>
            <w:r>
              <w:rPr>
                <w:rStyle w:val="fontstyle01"/>
                <w:rFonts w:hint="eastAsia"/>
                <w:color w:val="FF0000"/>
                <w:u w:val="single"/>
              </w:rPr>
              <w:t>_UL</w:t>
            </w:r>
            <w:r>
              <w:rPr>
                <w:rFonts w:hint="eastAsia"/>
                <w:sz w:val="20"/>
              </w:rPr>
              <w:t xml:space="preserve"> </w:t>
            </w:r>
            <w:r>
              <w:rPr>
                <w:sz w:val="20"/>
              </w:rPr>
              <w:t>as provided in Table 14-3.</w:t>
            </w:r>
          </w:p>
          <w:p w:rsidR="006945DF" w:rsidRDefault="0031680D">
            <w:pPr>
              <w:pStyle w:val="TH"/>
              <w:spacing w:before="120" w:after="120"/>
              <w:rPr>
                <w:rFonts w:cs="Arial"/>
                <w:i/>
                <w:sz w:val="20"/>
              </w:rPr>
            </w:pPr>
            <w:r>
              <w:rPr>
                <w:sz w:val="20"/>
              </w:rPr>
              <w:t xml:space="preserve">Table 14-3: Mapping between values </w:t>
            </w:r>
            <w:r>
              <w:rPr>
                <w:rFonts w:cs="Arial"/>
                <w:sz w:val="20"/>
              </w:rPr>
              <w:t xml:space="preserve">of </w:t>
            </w:r>
            <w:r>
              <w:rPr>
                <w:rStyle w:val="fontstyle01"/>
                <w:rFonts w:ascii="Arial" w:hAnsi="Arial" w:cs="Arial"/>
              </w:rPr>
              <w:t xml:space="preserve">resourceAvailability </w:t>
            </w:r>
            <w:r>
              <w:rPr>
                <w:rStyle w:val="fontstyle01"/>
                <w:rFonts w:ascii="Arial" w:hAnsi="Arial" w:cs="Arial" w:hint="eastAsia"/>
                <w:i w:val="0"/>
                <w:iCs w:val="0"/>
                <w:color w:val="FF0000"/>
                <w:u w:val="single"/>
              </w:rPr>
              <w:t>or</w:t>
            </w:r>
            <w:r>
              <w:rPr>
                <w:rStyle w:val="fontstyle01"/>
                <w:rFonts w:ascii="Arial" w:hAnsi="Arial" w:cs="Arial" w:hint="eastAsia"/>
                <w:color w:val="FF0000"/>
                <w:u w:val="single"/>
              </w:rPr>
              <w:t xml:space="preserve"> </w:t>
            </w:r>
            <w:r>
              <w:rPr>
                <w:rStyle w:val="fontstyle01"/>
                <w:rFonts w:ascii="Arial" w:hAnsi="Arial" w:cs="Arial"/>
                <w:color w:val="FF0000"/>
                <w:u w:val="single"/>
              </w:rPr>
              <w:t>resourceAvailability</w:t>
            </w:r>
            <w:r>
              <w:rPr>
                <w:rStyle w:val="fontstyle01"/>
                <w:rFonts w:ascii="Arial" w:hAnsi="Arial" w:cs="Arial" w:hint="eastAsia"/>
                <w:color w:val="FF0000"/>
                <w:u w:val="single"/>
              </w:rPr>
              <w:t>_UL</w:t>
            </w:r>
            <w:r>
              <w:rPr>
                <w:rStyle w:val="fontstyle01"/>
                <w:rFonts w:ascii="Arial" w:hAnsi="Arial" w:cs="Arial" w:hint="eastAsia"/>
              </w:rPr>
              <w:t xml:space="preserve"> </w:t>
            </w:r>
            <w:r>
              <w:rPr>
                <w:rStyle w:val="fontstyle01"/>
                <w:rFonts w:ascii="Arial" w:hAnsi="Arial" w:cs="Arial"/>
                <w:i w:val="0"/>
                <w:iCs w:val="0"/>
              </w:rPr>
              <w:t>elements and types of soft symbol availability in a slot</w:t>
            </w:r>
          </w:p>
          <w:p w:rsidR="006945DF" w:rsidRDefault="0031680D">
            <w:pPr>
              <w:spacing w:before="120" w:after="120"/>
              <w:jc w:val="center"/>
              <w:rPr>
                <w:color w:val="0101FF"/>
                <w:sz w:val="20"/>
              </w:rPr>
            </w:pPr>
            <w:r>
              <w:rPr>
                <w:color w:val="FF0000"/>
                <w:sz w:val="20"/>
              </w:rPr>
              <w:t>&lt; Unchanged parts are omitted &gt;</w:t>
            </w:r>
          </w:p>
        </w:tc>
      </w:tr>
    </w:tbl>
    <w:p w:rsidR="006945DF" w:rsidRDefault="006945DF">
      <w:pPr>
        <w:spacing w:before="120" w:after="120"/>
        <w:rPr>
          <w:szCs w:val="22"/>
        </w:rPr>
      </w:pPr>
      <w:bookmarkStart w:id="2" w:name="_Toc24792"/>
      <w:bookmarkStart w:id="3" w:name="_Toc6764"/>
      <w:bookmarkStart w:id="4" w:name="_Toc939"/>
      <w:bookmarkEnd w:id="2"/>
      <w:bookmarkEnd w:id="3"/>
      <w:bookmarkEnd w:id="4"/>
    </w:p>
    <w:p w:rsidR="006945DF" w:rsidRDefault="0031680D">
      <w:pPr>
        <w:pStyle w:val="Heading1"/>
        <w:spacing w:before="120" w:after="120"/>
        <w:ind w:left="0"/>
        <w:rPr>
          <w:rFonts w:eastAsia="SimSun"/>
        </w:rPr>
      </w:pPr>
      <w:bookmarkStart w:id="5" w:name="_Toc19141"/>
      <w:bookmarkStart w:id="6" w:name="_Toc30716"/>
      <w:bookmarkStart w:id="7" w:name="_Toc8335"/>
      <w:bookmarkEnd w:id="5"/>
      <w:bookmarkEnd w:id="6"/>
      <w:bookmarkEnd w:id="7"/>
      <w:r>
        <w:rPr>
          <w:rFonts w:eastAsia="SimSun" w:hint="eastAsia"/>
        </w:rPr>
        <w:lastRenderedPageBreak/>
        <w:t>Conclusion</w:t>
      </w:r>
    </w:p>
    <w:p w:rsidR="006945DF" w:rsidRDefault="0031680D">
      <w:pPr>
        <w:tabs>
          <w:tab w:val="left" w:pos="2520"/>
        </w:tabs>
        <w:spacing w:before="120" w:after="120"/>
        <w:rPr>
          <w:sz w:val="20"/>
        </w:rPr>
      </w:pPr>
      <w:r>
        <w:rPr>
          <w:rFonts w:hint="eastAsia"/>
          <w:sz w:val="20"/>
        </w:rPr>
        <w:t>According to the discussion above, we provide the following proposal</w:t>
      </w:r>
      <w:r>
        <w:rPr>
          <w:sz w:val="20"/>
        </w:rPr>
        <w:t>s</w:t>
      </w:r>
      <w:r>
        <w:rPr>
          <w:rFonts w:hint="eastAsia"/>
          <w:sz w:val="20"/>
        </w:rPr>
        <w:t xml:space="preserve"> on resource multiplexing of IAB:</w:t>
      </w:r>
    </w:p>
    <w:p w:rsidR="006945DF" w:rsidRDefault="0031680D">
      <w:pPr>
        <w:spacing w:before="120" w:after="120"/>
        <w:rPr>
          <w:rFonts w:eastAsiaTheme="minorEastAsia"/>
          <w:b/>
          <w:bCs/>
          <w:i/>
          <w:iCs/>
          <w:sz w:val="20"/>
          <w:szCs w:val="22"/>
        </w:rPr>
      </w:pPr>
      <w:r>
        <w:rPr>
          <w:rFonts w:eastAsiaTheme="minorEastAsia" w:hint="eastAsia"/>
          <w:b/>
          <w:bCs/>
          <w:i/>
          <w:iCs/>
          <w:sz w:val="20"/>
          <w:szCs w:val="22"/>
        </w:rPr>
        <w:t xml:space="preserve">Proposal 1: </w:t>
      </w:r>
      <w:r>
        <w:rPr>
          <w:rFonts w:eastAsiaTheme="minorEastAsia"/>
          <w:b/>
          <w:bCs/>
          <w:i/>
          <w:iCs/>
          <w:sz w:val="20"/>
          <w:szCs w:val="22"/>
        </w:rPr>
        <w:t xml:space="preserve">To adopt the following 38.213 TP for determination of starting slot of DCI 2_5 indication. </w:t>
      </w:r>
    </w:p>
    <w:tbl>
      <w:tblPr>
        <w:tblStyle w:val="TableGrid"/>
        <w:tblW w:w="0" w:type="auto"/>
        <w:tblLook w:val="04A0"/>
      </w:tblPr>
      <w:tblGrid>
        <w:gridCol w:w="9876"/>
      </w:tblGrid>
      <w:tr w:rsidR="006945DF">
        <w:tc>
          <w:tcPr>
            <w:tcW w:w="9876" w:type="dxa"/>
          </w:tcPr>
          <w:p w:rsidR="006945DF" w:rsidRDefault="0031680D">
            <w:pPr>
              <w:spacing w:before="120" w:after="120"/>
              <w:rPr>
                <w:rFonts w:eastAsiaTheme="minorEastAsia"/>
                <w:b/>
                <w:bCs/>
                <w:iCs/>
                <w:sz w:val="20"/>
                <w:szCs w:val="22"/>
              </w:rPr>
            </w:pPr>
            <w:r>
              <w:rPr>
                <w:iCs/>
                <w:sz w:val="20"/>
              </w:rPr>
              <w:t xml:space="preserve">An AI index field value in a DCI format 2_5 indicates to an IAB-node DU a soft symbol availability in each slot for a number of slots starting from </w:t>
            </w:r>
            <w:r>
              <w:rPr>
                <w:iCs/>
                <w:strike/>
                <w:color w:val="FF0000"/>
                <w:sz w:val="20"/>
              </w:rPr>
              <w:t>a</w:t>
            </w:r>
            <w:r>
              <w:rPr>
                <w:iCs/>
                <w:sz w:val="20"/>
              </w:rPr>
              <w:t xml:space="preserve"> </w:t>
            </w:r>
            <w:r>
              <w:rPr>
                <w:iCs/>
                <w:color w:val="FF0000"/>
                <w:sz w:val="20"/>
                <w:u w:val="single"/>
              </w:rPr>
              <w:t>the earliest slot that overlaps with a MT</w:t>
            </w:r>
            <w:r>
              <w:rPr>
                <w:iCs/>
                <w:sz w:val="20"/>
              </w:rPr>
              <w:t xml:space="preserve"> slot where the IAB-node detects the DCI format 2_5.</w:t>
            </w:r>
          </w:p>
        </w:tc>
      </w:tr>
    </w:tbl>
    <w:p w:rsidR="006945DF" w:rsidRDefault="006945DF">
      <w:pPr>
        <w:pStyle w:val="YJ-Proposal"/>
        <w:numPr>
          <w:ilvl w:val="0"/>
          <w:numId w:val="0"/>
        </w:numPr>
        <w:spacing w:before="120" w:after="120"/>
        <w:rPr>
          <w:szCs w:val="22"/>
          <w:lang w:val="en-US" w:eastAsia="zh-CN"/>
        </w:rPr>
      </w:pPr>
    </w:p>
    <w:p w:rsidR="00C42250" w:rsidRDefault="00C42250" w:rsidP="00C42250">
      <w:pPr>
        <w:pStyle w:val="YJ-Proposal"/>
        <w:numPr>
          <w:ilvl w:val="0"/>
          <w:numId w:val="0"/>
        </w:numPr>
        <w:spacing w:before="120" w:after="120"/>
        <w:rPr>
          <w:lang w:val="en-US" w:eastAsia="zh-CN"/>
        </w:rPr>
      </w:pPr>
      <w:r>
        <w:rPr>
          <w:rFonts w:hint="eastAsia"/>
          <w:szCs w:val="22"/>
          <w:lang w:val="en-US" w:eastAsia="zh-CN"/>
        </w:rPr>
        <w:t xml:space="preserve">Proposal </w:t>
      </w:r>
      <w:r>
        <w:rPr>
          <w:szCs w:val="22"/>
          <w:lang w:val="en-US" w:eastAsia="zh-CN"/>
        </w:rPr>
        <w:t>2</w:t>
      </w:r>
      <w:r>
        <w:rPr>
          <w:rFonts w:hint="eastAsia"/>
          <w:szCs w:val="22"/>
          <w:lang w:val="en-US" w:eastAsia="zh-CN"/>
        </w:rPr>
        <w:t>:</w:t>
      </w:r>
      <w:r>
        <w:rPr>
          <w:szCs w:val="22"/>
          <w:lang w:val="en-US" w:eastAsia="zh-CN"/>
        </w:rPr>
        <w:t xml:space="preserve"> </w:t>
      </w:r>
      <w:r>
        <w:rPr>
          <w:lang w:val="en-US" w:eastAsia="zh-CN"/>
        </w:rPr>
        <w:t>To adopt</w:t>
      </w:r>
      <w:r>
        <w:rPr>
          <w:rFonts w:hint="eastAsia"/>
          <w:lang w:val="en-US" w:eastAsia="zh-CN"/>
        </w:rPr>
        <w:t xml:space="preserve"> </w:t>
      </w:r>
      <w:r>
        <w:rPr>
          <w:lang w:val="en-US" w:eastAsia="zh-CN"/>
        </w:rPr>
        <w:t xml:space="preserve">following 38.213 </w:t>
      </w:r>
      <w:r>
        <w:rPr>
          <w:rFonts w:hint="eastAsia"/>
          <w:lang w:val="en-US" w:eastAsia="zh-CN"/>
        </w:rPr>
        <w:t xml:space="preserve">TPs </w:t>
      </w:r>
      <w:r>
        <w:rPr>
          <w:lang w:val="en-US" w:eastAsia="zh-CN"/>
        </w:rPr>
        <w:t>in</w:t>
      </w:r>
      <w:r>
        <w:rPr>
          <w:rFonts w:hint="eastAsia"/>
          <w:lang w:val="en-US" w:eastAsia="zh-CN"/>
        </w:rPr>
        <w:t xml:space="preserve"> determining the availability of soft resources for paired spectrum.</w:t>
      </w:r>
    </w:p>
    <w:tbl>
      <w:tblPr>
        <w:tblStyle w:val="TableGrid"/>
        <w:tblW w:w="0" w:type="auto"/>
        <w:tblLook w:val="04A0"/>
      </w:tblPr>
      <w:tblGrid>
        <w:gridCol w:w="9876"/>
      </w:tblGrid>
      <w:tr w:rsidR="006945DF">
        <w:tc>
          <w:tcPr>
            <w:tcW w:w="9876" w:type="dxa"/>
          </w:tcPr>
          <w:p w:rsidR="006945DF" w:rsidRDefault="0031680D">
            <w:pPr>
              <w:pStyle w:val="Heading1"/>
              <w:numPr>
                <w:ilvl w:val="0"/>
                <w:numId w:val="0"/>
              </w:numPr>
              <w:tabs>
                <w:tab w:val="left" w:pos="1134"/>
              </w:tabs>
              <w:spacing w:before="120" w:after="120"/>
              <w:outlineLvl w:val="0"/>
            </w:pPr>
            <w:r>
              <w:lastRenderedPageBreak/>
              <w:t>14</w:t>
            </w:r>
            <w:r>
              <w:rPr>
                <w:rFonts w:hint="eastAsia"/>
              </w:rPr>
              <w:tab/>
            </w:r>
            <w:r>
              <w:t xml:space="preserve">Integrated access-backhaul operation </w:t>
            </w:r>
          </w:p>
          <w:p w:rsidR="006945DF" w:rsidRDefault="0031680D">
            <w:pPr>
              <w:spacing w:before="120" w:after="120"/>
              <w:jc w:val="center"/>
            </w:pPr>
            <w:r>
              <w:rPr>
                <w:color w:val="FF0000"/>
                <w:sz w:val="20"/>
              </w:rPr>
              <w:t>&lt; Unchanged parts are omitted &gt;</w:t>
            </w:r>
          </w:p>
          <w:p w:rsidR="006945DF" w:rsidRDefault="0031680D">
            <w:pPr>
              <w:spacing w:before="120" w:after="120"/>
              <w:rPr>
                <w:sz w:val="20"/>
              </w:rPr>
            </w:pPr>
            <w:r>
              <w:rPr>
                <w:sz w:val="20"/>
              </w:rPr>
              <w:t xml:space="preserve">For each serving cell of an IAB-DU in a set of serving cells of the IAB-DU, the IAB-DU can be provided: </w:t>
            </w:r>
          </w:p>
          <w:p w:rsidR="006945DF" w:rsidRDefault="0031680D">
            <w:pPr>
              <w:pStyle w:val="B1"/>
              <w:spacing w:before="120" w:after="120"/>
              <w:rPr>
                <w:sz w:val="20"/>
              </w:rPr>
            </w:pPr>
            <w:r>
              <w:rPr>
                <w:sz w:val="20"/>
              </w:rPr>
              <w:t>-</w:t>
            </w:r>
            <w:r>
              <w:rPr>
                <w:sz w:val="20"/>
              </w:rPr>
              <w:tab/>
              <w:t xml:space="preserve">an identity of the IAB-DU serving cell by </w:t>
            </w:r>
            <w:r>
              <w:rPr>
                <w:rStyle w:val="fontstyle01"/>
              </w:rPr>
              <w:t>iabDuCellId-AI</w:t>
            </w:r>
          </w:p>
          <w:p w:rsidR="006945DF" w:rsidRDefault="0031680D">
            <w:pPr>
              <w:pStyle w:val="B1"/>
              <w:spacing w:before="120" w:after="120"/>
              <w:rPr>
                <w:sz w:val="20"/>
              </w:rPr>
            </w:pPr>
            <w:r>
              <w:rPr>
                <w:sz w:val="20"/>
              </w:rPr>
              <w:t>-</w:t>
            </w:r>
            <w:r>
              <w:rPr>
                <w:sz w:val="20"/>
              </w:rPr>
              <w:tab/>
              <w:t xml:space="preserve">a location of an availability indicator (AI) index field in DCI format 2_5 by </w:t>
            </w:r>
            <w:r>
              <w:rPr>
                <w:rStyle w:val="fontstyle01"/>
              </w:rPr>
              <w:t>positionInDCI-AI</w:t>
            </w:r>
          </w:p>
          <w:p w:rsidR="006945DF" w:rsidRDefault="0031680D">
            <w:pPr>
              <w:pStyle w:val="B1"/>
              <w:spacing w:before="120" w:after="120"/>
              <w:rPr>
                <w:sz w:val="20"/>
              </w:rPr>
            </w:pPr>
            <w:r>
              <w:rPr>
                <w:sz w:val="20"/>
              </w:rPr>
              <w:t>-</w:t>
            </w:r>
            <w:r>
              <w:rPr>
                <w:sz w:val="20"/>
              </w:rPr>
              <w:tab/>
              <w:t xml:space="preserve">a set of availability combinations by </w:t>
            </w:r>
            <w:r>
              <w:rPr>
                <w:rStyle w:val="fontstyle01"/>
              </w:rPr>
              <w:t>availabilityCombinations</w:t>
            </w:r>
            <w:r>
              <w:rPr>
                <w:sz w:val="20"/>
              </w:rPr>
              <w:t>, where each availability combination in the set of availability combinations includes</w:t>
            </w:r>
          </w:p>
          <w:p w:rsidR="006945DF" w:rsidRDefault="0031680D">
            <w:pPr>
              <w:pStyle w:val="B2"/>
              <w:tabs>
                <w:tab w:val="left" w:pos="914"/>
              </w:tabs>
              <w:spacing w:before="120" w:after="120"/>
              <w:ind w:left="720"/>
              <w:rPr>
                <w:color w:val="FF0000"/>
                <w:sz w:val="20"/>
              </w:rPr>
            </w:pPr>
            <w:r>
              <w:rPr>
                <w:color w:val="FF0000"/>
                <w:sz w:val="20"/>
              </w:rPr>
              <w:t>-</w:t>
            </w:r>
            <w:r>
              <w:rPr>
                <w:color w:val="FF0000"/>
                <w:sz w:val="20"/>
              </w:rPr>
              <w:tab/>
            </w:r>
            <w:r>
              <w:rPr>
                <w:rFonts w:hint="eastAsia"/>
                <w:color w:val="FF0000"/>
                <w:sz w:val="20"/>
              </w:rPr>
              <w:t>for unpaired spectrum operation</w:t>
            </w:r>
            <w:r>
              <w:rPr>
                <w:color w:val="FF0000"/>
                <w:sz w:val="20"/>
              </w:rPr>
              <w:t>,</w:t>
            </w:r>
          </w:p>
          <w:p w:rsidR="006945DF" w:rsidRDefault="0031680D">
            <w:pPr>
              <w:pStyle w:val="B2"/>
              <w:spacing w:before="120" w:after="120"/>
              <w:ind w:left="1260" w:hanging="270"/>
              <w:rPr>
                <w:sz w:val="20"/>
              </w:rPr>
            </w:pPr>
            <w:r>
              <w:rPr>
                <w:sz w:val="20"/>
              </w:rPr>
              <w:t>-</w:t>
            </w:r>
            <w:r>
              <w:rPr>
                <w:sz w:val="20"/>
              </w:rPr>
              <w:tab/>
            </w:r>
            <w:r>
              <w:rPr>
                <w:rStyle w:val="fontstyle01"/>
              </w:rPr>
              <w:t>resourceAvailability</w:t>
            </w:r>
            <w:r>
              <w:rPr>
                <w:sz w:val="20"/>
              </w:rPr>
              <w:t xml:space="preserve"> indicating availability of soft symbols in one or more slots for the IAB-DU serving cell, and </w:t>
            </w:r>
          </w:p>
          <w:p w:rsidR="006945DF" w:rsidRDefault="0031680D">
            <w:pPr>
              <w:pStyle w:val="B2"/>
              <w:spacing w:before="120" w:after="120"/>
              <w:ind w:left="1260" w:hanging="270"/>
              <w:rPr>
                <w:sz w:val="20"/>
              </w:rPr>
            </w:pPr>
            <w:r>
              <w:rPr>
                <w:sz w:val="20"/>
              </w:rPr>
              <w:t>-</w:t>
            </w:r>
            <w:r>
              <w:rPr>
                <w:sz w:val="20"/>
              </w:rPr>
              <w:tab/>
              <w:t xml:space="preserve">a mapping for the soft symbol availability combinations provided by </w:t>
            </w:r>
            <w:r>
              <w:rPr>
                <w:i/>
                <w:iCs/>
                <w:sz w:val="20"/>
              </w:rPr>
              <w:t>resource</w:t>
            </w:r>
            <w:r>
              <w:rPr>
                <w:rStyle w:val="fontstyle01"/>
              </w:rPr>
              <w:t>Availability</w:t>
            </w:r>
            <w:r>
              <w:rPr>
                <w:sz w:val="20"/>
              </w:rPr>
              <w:t xml:space="preserve"> to a corresponding AI index field value in DCI format 2_5 provided by </w:t>
            </w:r>
            <w:r>
              <w:rPr>
                <w:rStyle w:val="fontstyle01"/>
              </w:rPr>
              <w:t>availabilityCombinationId</w:t>
            </w:r>
          </w:p>
          <w:p w:rsidR="006945DF" w:rsidRDefault="0031680D">
            <w:pPr>
              <w:pStyle w:val="B2"/>
              <w:tabs>
                <w:tab w:val="left" w:pos="900"/>
              </w:tabs>
              <w:spacing w:before="120" w:after="120"/>
              <w:ind w:left="720"/>
              <w:rPr>
                <w:color w:val="FF0000"/>
                <w:sz w:val="20"/>
              </w:rPr>
            </w:pPr>
            <w:r>
              <w:rPr>
                <w:color w:val="FF0000"/>
                <w:sz w:val="20"/>
              </w:rPr>
              <w:t>-</w:t>
            </w:r>
            <w:r>
              <w:rPr>
                <w:color w:val="FF0000"/>
                <w:sz w:val="20"/>
              </w:rPr>
              <w:tab/>
            </w:r>
            <w:r>
              <w:rPr>
                <w:rFonts w:hint="eastAsia"/>
                <w:color w:val="FF0000"/>
                <w:sz w:val="20"/>
              </w:rPr>
              <w:t>for paired spectrum operation</w:t>
            </w:r>
          </w:p>
          <w:p w:rsidR="006945DF" w:rsidRDefault="0031680D">
            <w:pPr>
              <w:pStyle w:val="B2"/>
              <w:spacing w:before="120" w:after="120"/>
              <w:ind w:leftChars="471" w:left="1259" w:hanging="270"/>
              <w:rPr>
                <w:color w:val="FF0000"/>
                <w:sz w:val="20"/>
              </w:rPr>
            </w:pPr>
            <w:r>
              <w:rPr>
                <w:color w:val="FF0000"/>
                <w:sz w:val="20"/>
              </w:rPr>
              <w:t>-</w:t>
            </w:r>
            <w:r>
              <w:rPr>
                <w:color w:val="FF0000"/>
                <w:sz w:val="20"/>
              </w:rPr>
              <w:tab/>
            </w:r>
            <w:r>
              <w:rPr>
                <w:rStyle w:val="fontstyle01"/>
                <w:color w:val="FF0000"/>
              </w:rPr>
              <w:t>resourceAvailability</w:t>
            </w:r>
            <w:r>
              <w:rPr>
                <w:color w:val="FF0000"/>
                <w:sz w:val="20"/>
              </w:rPr>
              <w:t xml:space="preserve"> indicating availability of soft symbols in one or more slots </w:t>
            </w:r>
            <w:r>
              <w:rPr>
                <w:rFonts w:hint="eastAsia"/>
                <w:color w:val="FF0000"/>
                <w:sz w:val="20"/>
              </w:rPr>
              <w:t xml:space="preserve">for downlink </w:t>
            </w:r>
            <w:r>
              <w:rPr>
                <w:color w:val="FF0000"/>
                <w:sz w:val="20"/>
              </w:rPr>
              <w:t xml:space="preserve">for the IAB-DU serving cell, and </w:t>
            </w:r>
          </w:p>
          <w:p w:rsidR="006945DF" w:rsidRDefault="0031680D">
            <w:pPr>
              <w:pStyle w:val="B2"/>
              <w:spacing w:before="120" w:after="120"/>
              <w:ind w:leftChars="471" w:left="1259" w:hanging="270"/>
              <w:rPr>
                <w:color w:val="FF0000"/>
                <w:sz w:val="20"/>
              </w:rPr>
            </w:pPr>
            <w:r>
              <w:rPr>
                <w:color w:val="FF0000"/>
                <w:sz w:val="20"/>
              </w:rPr>
              <w:t>-</w:t>
            </w:r>
            <w:r>
              <w:rPr>
                <w:color w:val="FF0000"/>
                <w:sz w:val="20"/>
              </w:rPr>
              <w:tab/>
            </w:r>
            <w:r>
              <w:rPr>
                <w:rStyle w:val="fontstyle01"/>
                <w:color w:val="FF0000"/>
              </w:rPr>
              <w:t>resourceAvailability</w:t>
            </w:r>
            <w:r>
              <w:rPr>
                <w:rStyle w:val="fontstyle01"/>
                <w:rFonts w:hint="eastAsia"/>
                <w:color w:val="FF0000"/>
              </w:rPr>
              <w:t>_UL</w:t>
            </w:r>
            <w:r>
              <w:rPr>
                <w:color w:val="FF0000"/>
                <w:sz w:val="20"/>
              </w:rPr>
              <w:t xml:space="preserve"> indicating availability of soft symbols in one or more slots </w:t>
            </w:r>
            <w:r>
              <w:rPr>
                <w:rFonts w:hint="eastAsia"/>
                <w:color w:val="FF0000"/>
                <w:sz w:val="20"/>
              </w:rPr>
              <w:t xml:space="preserve">for uplink </w:t>
            </w:r>
            <w:r>
              <w:rPr>
                <w:color w:val="FF0000"/>
                <w:sz w:val="20"/>
              </w:rPr>
              <w:t>for the IAB-DU serving cell, and</w:t>
            </w:r>
          </w:p>
          <w:p w:rsidR="006945DF" w:rsidRDefault="0031680D">
            <w:pPr>
              <w:pStyle w:val="B2"/>
              <w:spacing w:before="120" w:after="120"/>
              <w:ind w:leftChars="471" w:left="1259" w:hanging="270"/>
              <w:rPr>
                <w:rStyle w:val="fontstyle01"/>
                <w:color w:val="FF0000"/>
              </w:rPr>
            </w:pPr>
            <w:r>
              <w:rPr>
                <w:color w:val="FF0000"/>
                <w:sz w:val="20"/>
              </w:rPr>
              <w:t>-</w:t>
            </w:r>
            <w:r>
              <w:rPr>
                <w:color w:val="FF0000"/>
                <w:sz w:val="20"/>
              </w:rPr>
              <w:tab/>
              <w:t xml:space="preserve">a mapping for the soft symbol availability combinations provided by </w:t>
            </w:r>
            <w:r>
              <w:rPr>
                <w:i/>
                <w:iCs/>
                <w:color w:val="FF0000"/>
                <w:sz w:val="20"/>
              </w:rPr>
              <w:t>resource</w:t>
            </w:r>
            <w:r>
              <w:rPr>
                <w:rStyle w:val="fontstyle01"/>
                <w:color w:val="FF0000"/>
              </w:rPr>
              <w:t>Availability</w:t>
            </w:r>
            <w:r>
              <w:rPr>
                <w:color w:val="FF0000"/>
                <w:sz w:val="20"/>
              </w:rPr>
              <w:t xml:space="preserve"> </w:t>
            </w:r>
            <w:r>
              <w:rPr>
                <w:rFonts w:hint="eastAsia"/>
                <w:color w:val="FF0000"/>
                <w:sz w:val="20"/>
              </w:rPr>
              <w:t xml:space="preserve">and </w:t>
            </w:r>
            <w:r>
              <w:rPr>
                <w:rStyle w:val="fontstyle01"/>
                <w:color w:val="FF0000"/>
              </w:rPr>
              <w:t>resourceAvailability</w:t>
            </w:r>
            <w:r>
              <w:rPr>
                <w:rStyle w:val="fontstyle01"/>
                <w:rFonts w:hint="eastAsia"/>
                <w:color w:val="FF0000"/>
              </w:rPr>
              <w:t>_UL</w:t>
            </w:r>
            <w:r>
              <w:rPr>
                <w:rFonts w:hint="eastAsia"/>
                <w:color w:val="FF0000"/>
                <w:sz w:val="20"/>
              </w:rPr>
              <w:t xml:space="preserve"> </w:t>
            </w:r>
            <w:r>
              <w:rPr>
                <w:color w:val="FF0000"/>
                <w:sz w:val="20"/>
              </w:rPr>
              <w:t xml:space="preserve">to a corresponding AI index field value in DCI format 2_5 provided by </w:t>
            </w:r>
            <w:r>
              <w:rPr>
                <w:rStyle w:val="fontstyle01"/>
                <w:color w:val="FF0000"/>
              </w:rPr>
              <w:t>availabilityCombinationId</w:t>
            </w:r>
          </w:p>
          <w:p w:rsidR="006945DF" w:rsidRDefault="0031680D">
            <w:pPr>
              <w:spacing w:before="120" w:after="120"/>
              <w:rPr>
                <w:sz w:val="20"/>
              </w:rPr>
            </w:pPr>
            <w:r>
              <w:rPr>
                <w:color w:val="FF0000"/>
                <w:sz w:val="20"/>
                <w:u w:val="single"/>
              </w:rPr>
              <w:t xml:space="preserve">For unpaired spectrum operation, </w:t>
            </w:r>
            <w:r>
              <w:rPr>
                <w:strike/>
                <w:color w:val="FF0000"/>
                <w:sz w:val="20"/>
                <w:u w:val="single"/>
              </w:rPr>
              <w:t>T</w:t>
            </w:r>
            <w:r>
              <w:rPr>
                <w:color w:val="FF0000"/>
                <w:sz w:val="20"/>
                <w:u w:val="single"/>
              </w:rPr>
              <w:t>t</w:t>
            </w:r>
            <w:r>
              <w:rPr>
                <w:sz w:val="20"/>
              </w:rPr>
              <w:t xml:space="preserve">he IAB-DU can assume a same SCS configuration for </w:t>
            </w:r>
            <w:r>
              <w:rPr>
                <w:i/>
                <w:sz w:val="20"/>
              </w:rPr>
              <w:t>availabilityCombinations</w:t>
            </w:r>
            <w:r>
              <w:rPr>
                <w:sz w:val="20"/>
              </w:rPr>
              <w:t xml:space="preserve"> for a serving cell as an SCS configuration provided by </w:t>
            </w:r>
            <w:r>
              <w:rPr>
                <w:i/>
                <w:iCs/>
                <w:strike/>
                <w:color w:val="FF0000"/>
                <w:sz w:val="20"/>
              </w:rPr>
              <w:t>IAB-DU-Resource-Configuration</w:t>
            </w:r>
            <w:r>
              <w:rPr>
                <w:i/>
                <w:strike/>
                <w:color w:val="FF0000"/>
                <w:sz w:val="20"/>
              </w:rPr>
              <w:t>-TDD-Config</w:t>
            </w:r>
            <w:r>
              <w:rPr>
                <w:sz w:val="20"/>
              </w:rPr>
              <w:t xml:space="preserve"> </w:t>
            </w:r>
            <w:r>
              <w:rPr>
                <w:i/>
                <w:iCs/>
                <w:color w:val="FF0000"/>
                <w:sz w:val="20"/>
                <w:u w:val="single"/>
                <w:lang w:eastAsia="ja-JP"/>
              </w:rPr>
              <w:t>gNB-DU Cell</w:t>
            </w:r>
            <w:r>
              <w:rPr>
                <w:i/>
                <w:iCs/>
                <w:color w:val="FF0000"/>
                <w:sz w:val="20"/>
                <w:u w:val="single"/>
              </w:rPr>
              <w:t xml:space="preserve"> </w:t>
            </w:r>
            <w:r>
              <w:rPr>
                <w:i/>
                <w:iCs/>
                <w:color w:val="FF0000"/>
                <w:sz w:val="20"/>
                <w:u w:val="single"/>
                <w:lang w:eastAsia="ja-JP"/>
              </w:rPr>
              <w:t>Resource Configuration</w:t>
            </w:r>
            <w:r>
              <w:rPr>
                <w:i/>
                <w:iCs/>
                <w:color w:val="FF0000"/>
                <w:sz w:val="20"/>
                <w:u w:val="single"/>
              </w:rPr>
              <w:t>-TDD</w:t>
            </w:r>
            <w:r>
              <w:rPr>
                <w:sz w:val="20"/>
              </w:rPr>
              <w:t xml:space="preserve"> for the serving cell.</w:t>
            </w:r>
          </w:p>
          <w:p w:rsidR="006945DF" w:rsidRDefault="0031680D">
            <w:pPr>
              <w:spacing w:before="120" w:after="120"/>
              <w:rPr>
                <w:color w:val="FF0000"/>
                <w:sz w:val="20"/>
                <w:u w:val="single"/>
              </w:rPr>
            </w:pPr>
            <w:r>
              <w:rPr>
                <w:color w:val="FF0000"/>
                <w:sz w:val="20"/>
                <w:u w:val="single"/>
              </w:rPr>
              <w:t xml:space="preserve">For paired spectrum operation, the IAB-DU can assume a same SCS configuration for </w:t>
            </w:r>
            <w:r>
              <w:rPr>
                <w:i/>
                <w:color w:val="FF0000"/>
                <w:sz w:val="20"/>
                <w:u w:val="single"/>
              </w:rPr>
              <w:t xml:space="preserve">availabilityCombinations </w:t>
            </w:r>
            <w:r>
              <w:rPr>
                <w:color w:val="FF0000"/>
                <w:sz w:val="20"/>
                <w:u w:val="single"/>
              </w:rPr>
              <w:t xml:space="preserve">for IAB-DU downlink of a serving cell as an SCS configuration provided by </w:t>
            </w:r>
            <w:r>
              <w:rPr>
                <w:bCs/>
                <w:i/>
                <w:iCs/>
                <w:color w:val="FF0000"/>
                <w:sz w:val="20"/>
                <w:u w:val="single"/>
                <w:lang w:eastAsia="ja-JP"/>
              </w:rPr>
              <w:t>gNB-DU Cell Resource Configuration</w:t>
            </w:r>
            <w:r>
              <w:rPr>
                <w:bCs/>
                <w:i/>
                <w:iCs/>
                <w:color w:val="FF0000"/>
                <w:sz w:val="20"/>
                <w:u w:val="single"/>
              </w:rPr>
              <w:t>-FDD-DL</w:t>
            </w:r>
            <w:r>
              <w:rPr>
                <w:color w:val="FF0000"/>
                <w:sz w:val="20"/>
                <w:u w:val="single"/>
              </w:rPr>
              <w:t xml:space="preserve"> for the serving cell, and a same SCS configuration for </w:t>
            </w:r>
            <w:r>
              <w:rPr>
                <w:i/>
                <w:color w:val="FF0000"/>
                <w:sz w:val="20"/>
                <w:u w:val="single"/>
              </w:rPr>
              <w:t xml:space="preserve">availabilityCombinations </w:t>
            </w:r>
            <w:r>
              <w:rPr>
                <w:color w:val="FF0000"/>
                <w:sz w:val="20"/>
                <w:u w:val="single"/>
              </w:rPr>
              <w:t xml:space="preserve">for IAB-DU uplink of a serving cell as an SCS configuration provided by </w:t>
            </w:r>
            <w:r>
              <w:rPr>
                <w:bCs/>
                <w:i/>
                <w:iCs/>
                <w:color w:val="FF0000"/>
                <w:sz w:val="20"/>
                <w:u w:val="single"/>
                <w:lang w:eastAsia="ja-JP"/>
              </w:rPr>
              <w:t>gNB-DU Cell Resource Configuration</w:t>
            </w:r>
            <w:r>
              <w:rPr>
                <w:bCs/>
                <w:i/>
                <w:iCs/>
                <w:color w:val="FF0000"/>
                <w:sz w:val="20"/>
                <w:u w:val="single"/>
              </w:rPr>
              <w:t>-FDD-UL</w:t>
            </w:r>
            <w:r>
              <w:rPr>
                <w:color w:val="FF0000"/>
                <w:sz w:val="20"/>
                <w:u w:val="single"/>
              </w:rPr>
              <w:t xml:space="preserve"> for the serving cell.</w:t>
            </w:r>
          </w:p>
          <w:p w:rsidR="006945DF" w:rsidRDefault="0031680D">
            <w:pPr>
              <w:spacing w:before="120" w:after="120"/>
              <w:rPr>
                <w:sz w:val="20"/>
              </w:rPr>
            </w:pPr>
            <w:r>
              <w:rPr>
                <w:sz w:val="20"/>
              </w:rPr>
              <w:t xml:space="preserve">An AI index field value in a DCI format 2_5 indicates to an IAB-DU a soft symbol availability in each slot for a number of slots starting from a slot where the IAB-node detects the DCI format 2_5. The number of slots is equal to or larger than a PDCCH monitoring periodicity for DCI format 2_5 as provided by </w:t>
            </w:r>
            <w:r>
              <w:rPr>
                <w:bCs/>
                <w:i/>
                <w:iCs/>
                <w:sz w:val="20"/>
              </w:rPr>
              <w:t>SearchSpace</w:t>
            </w:r>
            <w:r>
              <w:rPr>
                <w:sz w:val="20"/>
              </w:rPr>
              <w:t xml:space="preserve">. The AI index field includes </w:t>
            </w:r>
            <w:r>
              <w:rPr>
                <w:noProof/>
                <w:position w:val="-10"/>
                <w:sz w:val="20"/>
              </w:rPr>
              <w:drawing>
                <wp:inline distT="0" distB="0" distL="0" distR="0">
                  <wp:extent cx="1645920" cy="182880"/>
                  <wp:effectExtent l="19050" t="0" r="0" b="0"/>
                  <wp:docPr id="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0"/>
                          <pic:cNvPicPr>
                            <a:picLocks noChangeAspect="1" noChangeArrowheads="1"/>
                          </pic:cNvPicPr>
                        </pic:nvPicPr>
                        <pic:blipFill>
                          <a:blip r:embed="rId19" cstate="print"/>
                          <a:srcRect/>
                          <a:stretch>
                            <a:fillRect/>
                          </a:stretch>
                        </pic:blipFill>
                        <pic:spPr>
                          <a:xfrm>
                            <a:off x="0" y="0"/>
                            <a:ext cx="1645920" cy="182880"/>
                          </a:xfrm>
                          <a:prstGeom prst="rect">
                            <a:avLst/>
                          </a:prstGeom>
                          <a:noFill/>
                          <a:ln w="9525">
                            <a:noFill/>
                            <a:miter lim="800000"/>
                            <a:headEnd/>
                            <a:tailEnd/>
                          </a:ln>
                        </pic:spPr>
                      </pic:pic>
                    </a:graphicData>
                  </a:graphic>
                </wp:inline>
              </w:drawing>
            </w:r>
            <w:r>
              <w:rPr>
                <w:sz w:val="20"/>
              </w:rPr>
              <w:t xml:space="preserve"> bits where maxAIindex is the maximum of the values provided by corresponding </w:t>
            </w:r>
            <w:r>
              <w:rPr>
                <w:rStyle w:val="fontstyle01"/>
              </w:rPr>
              <w:t>availabilityCombinationId</w:t>
            </w:r>
            <w:r>
              <w:rPr>
                <w:sz w:val="20"/>
              </w:rPr>
              <w:t xml:space="preserve">. An availability for a soft symbol in a slot is identified by a corresponding value </w:t>
            </w:r>
            <w:r>
              <w:rPr>
                <w:rStyle w:val="fontstyle01"/>
              </w:rPr>
              <w:t>resourceAvailability</w:t>
            </w:r>
            <w:r>
              <w:rPr>
                <w:sz w:val="20"/>
              </w:rPr>
              <w:t xml:space="preserve"> </w:t>
            </w:r>
            <w:r>
              <w:rPr>
                <w:rFonts w:hint="eastAsia"/>
                <w:color w:val="FF0000"/>
                <w:sz w:val="20"/>
                <w:u w:val="single"/>
              </w:rPr>
              <w:t xml:space="preserve">or </w:t>
            </w:r>
            <w:r>
              <w:rPr>
                <w:rStyle w:val="fontstyle01"/>
                <w:color w:val="FF0000"/>
                <w:u w:val="single"/>
              </w:rPr>
              <w:t>resourceAvailability</w:t>
            </w:r>
            <w:r>
              <w:rPr>
                <w:rStyle w:val="fontstyle01"/>
                <w:rFonts w:hint="eastAsia"/>
                <w:color w:val="FF0000"/>
                <w:u w:val="single"/>
              </w:rPr>
              <w:t>_UL</w:t>
            </w:r>
            <w:r>
              <w:rPr>
                <w:rFonts w:hint="eastAsia"/>
                <w:sz w:val="20"/>
              </w:rPr>
              <w:t xml:space="preserve"> </w:t>
            </w:r>
            <w:r>
              <w:rPr>
                <w:sz w:val="20"/>
              </w:rPr>
              <w:t>as provided in Table 14-3.</w:t>
            </w:r>
          </w:p>
          <w:p w:rsidR="006945DF" w:rsidRDefault="0031680D">
            <w:pPr>
              <w:pStyle w:val="TH"/>
              <w:spacing w:before="120" w:after="120"/>
              <w:rPr>
                <w:rFonts w:cs="Arial"/>
                <w:i/>
                <w:sz w:val="20"/>
              </w:rPr>
            </w:pPr>
            <w:r>
              <w:rPr>
                <w:sz w:val="20"/>
              </w:rPr>
              <w:t xml:space="preserve">Table 14-3: Mapping between values </w:t>
            </w:r>
            <w:r>
              <w:rPr>
                <w:rFonts w:cs="Arial"/>
                <w:sz w:val="20"/>
              </w:rPr>
              <w:t xml:space="preserve">of </w:t>
            </w:r>
            <w:r>
              <w:rPr>
                <w:rStyle w:val="fontstyle01"/>
                <w:rFonts w:ascii="Arial" w:hAnsi="Arial" w:cs="Arial"/>
              </w:rPr>
              <w:t xml:space="preserve">resourceAvailability </w:t>
            </w:r>
            <w:r>
              <w:rPr>
                <w:rStyle w:val="fontstyle01"/>
                <w:rFonts w:ascii="Arial" w:hAnsi="Arial" w:cs="Arial" w:hint="eastAsia"/>
                <w:i w:val="0"/>
                <w:iCs w:val="0"/>
                <w:color w:val="FF0000"/>
                <w:u w:val="single"/>
              </w:rPr>
              <w:t>or</w:t>
            </w:r>
            <w:r>
              <w:rPr>
                <w:rStyle w:val="fontstyle01"/>
                <w:rFonts w:ascii="Arial" w:hAnsi="Arial" w:cs="Arial" w:hint="eastAsia"/>
                <w:color w:val="FF0000"/>
                <w:u w:val="single"/>
              </w:rPr>
              <w:t xml:space="preserve"> </w:t>
            </w:r>
            <w:r>
              <w:rPr>
                <w:rStyle w:val="fontstyle01"/>
                <w:rFonts w:ascii="Arial" w:hAnsi="Arial" w:cs="Arial"/>
                <w:color w:val="FF0000"/>
                <w:u w:val="single"/>
              </w:rPr>
              <w:t>resourceAvailability</w:t>
            </w:r>
            <w:r>
              <w:rPr>
                <w:rStyle w:val="fontstyle01"/>
                <w:rFonts w:ascii="Arial" w:hAnsi="Arial" w:cs="Arial" w:hint="eastAsia"/>
                <w:color w:val="FF0000"/>
                <w:u w:val="single"/>
              </w:rPr>
              <w:t>_UL</w:t>
            </w:r>
            <w:r>
              <w:rPr>
                <w:rStyle w:val="fontstyle01"/>
                <w:rFonts w:ascii="Arial" w:hAnsi="Arial" w:cs="Arial" w:hint="eastAsia"/>
              </w:rPr>
              <w:t xml:space="preserve"> </w:t>
            </w:r>
            <w:r>
              <w:rPr>
                <w:rStyle w:val="fontstyle01"/>
                <w:rFonts w:ascii="Arial" w:hAnsi="Arial" w:cs="Arial"/>
                <w:i w:val="0"/>
                <w:iCs w:val="0"/>
              </w:rPr>
              <w:t>elements and types of soft symbol availability in a slot</w:t>
            </w:r>
          </w:p>
          <w:p w:rsidR="006945DF" w:rsidRDefault="0031680D">
            <w:pPr>
              <w:spacing w:before="120" w:after="120"/>
              <w:jc w:val="center"/>
              <w:rPr>
                <w:color w:val="0101FF"/>
                <w:sz w:val="20"/>
              </w:rPr>
            </w:pPr>
            <w:r>
              <w:rPr>
                <w:color w:val="FF0000"/>
                <w:sz w:val="20"/>
              </w:rPr>
              <w:t>&lt; Unchanged parts are omitted &gt;</w:t>
            </w:r>
          </w:p>
        </w:tc>
      </w:tr>
    </w:tbl>
    <w:p w:rsidR="006945DF" w:rsidRDefault="0031680D">
      <w:pPr>
        <w:pStyle w:val="YJ-Proposal"/>
        <w:numPr>
          <w:ilvl w:val="0"/>
          <w:numId w:val="0"/>
        </w:numPr>
        <w:spacing w:before="120" w:after="120"/>
        <w:rPr>
          <w:lang w:val="en-US" w:eastAsia="zh-CN"/>
        </w:rPr>
      </w:pPr>
      <w:r>
        <w:rPr>
          <w:rFonts w:hint="eastAsia"/>
          <w:szCs w:val="22"/>
          <w:lang w:val="en-US" w:eastAsia="zh-CN"/>
        </w:rPr>
        <w:t xml:space="preserve">  </w:t>
      </w:r>
    </w:p>
    <w:p w:rsidR="006945DF" w:rsidRDefault="0031680D">
      <w:pPr>
        <w:pStyle w:val="Heading1"/>
        <w:spacing w:before="120" w:after="120"/>
        <w:ind w:left="0"/>
        <w:rPr>
          <w:rFonts w:eastAsia="SimSun"/>
        </w:rPr>
      </w:pPr>
      <w:r>
        <w:rPr>
          <w:rFonts w:eastAsia="SimSun" w:hint="eastAsia"/>
        </w:rPr>
        <w:lastRenderedPageBreak/>
        <w:t>Reference</w:t>
      </w:r>
      <w:r>
        <w:rPr>
          <w:rFonts w:eastAsia="SimSun"/>
        </w:rPr>
        <w:t>s</w:t>
      </w:r>
    </w:p>
    <w:p w:rsidR="006945DF" w:rsidRDefault="0031680D">
      <w:pPr>
        <w:pStyle w:val="References"/>
        <w:spacing w:before="120" w:after="120"/>
        <w:ind w:left="363" w:hanging="363"/>
      </w:pPr>
      <w:bookmarkStart w:id="8" w:name="_Ref17466"/>
      <w:bookmarkStart w:id="9" w:name="_Ref6480"/>
      <w:r>
        <w:rPr>
          <w:rFonts w:hint="eastAsia"/>
          <w:szCs w:val="20"/>
        </w:rPr>
        <w:t>R</w:t>
      </w:r>
      <w:bookmarkEnd w:id="8"/>
      <w:bookmarkEnd w:id="9"/>
      <w:r>
        <w:rPr>
          <w:rFonts w:hint="eastAsia"/>
          <w:szCs w:val="20"/>
        </w:rPr>
        <w:t xml:space="preserve">AN1 </w:t>
      </w:r>
      <w:r>
        <w:rPr>
          <w:szCs w:val="20"/>
        </w:rPr>
        <w:t xml:space="preserve">#100bis-e </w:t>
      </w:r>
      <w:r>
        <w:rPr>
          <w:rFonts w:hint="eastAsia"/>
          <w:szCs w:val="20"/>
        </w:rPr>
        <w:t>chairman notes</w:t>
      </w:r>
    </w:p>
    <w:p w:rsidR="006945DF" w:rsidRPr="002B1DE5" w:rsidRDefault="0031680D">
      <w:pPr>
        <w:pStyle w:val="References"/>
        <w:spacing w:before="120" w:after="120"/>
        <w:ind w:left="363" w:hanging="363"/>
      </w:pPr>
      <w:r>
        <w:rPr>
          <w:rFonts w:hint="eastAsia"/>
          <w:szCs w:val="20"/>
        </w:rPr>
        <w:t>TS38.473-g20.</w:t>
      </w:r>
    </w:p>
    <w:p w:rsidR="002B1DE5" w:rsidRPr="002B1DE5" w:rsidRDefault="00505E2F">
      <w:pPr>
        <w:pStyle w:val="References"/>
        <w:spacing w:before="120" w:after="120"/>
        <w:ind w:left="363" w:hanging="363"/>
        <w:rPr>
          <w:sz w:val="20"/>
          <w:szCs w:val="20"/>
        </w:rPr>
      </w:pPr>
      <w:bookmarkStart w:id="10" w:name="_Ref47605229"/>
      <w:r>
        <w:rPr>
          <w:sz w:val="20"/>
          <w:szCs w:val="20"/>
        </w:rPr>
        <w:t>R2-2007322</w:t>
      </w:r>
      <w:r w:rsidR="002B1DE5" w:rsidRPr="002B1DE5">
        <w:rPr>
          <w:sz w:val="20"/>
          <w:szCs w:val="20"/>
        </w:rPr>
        <w:t xml:space="preserve">, </w:t>
      </w:r>
      <w:r w:rsidR="002B1DE5" w:rsidRPr="002B1DE5">
        <w:rPr>
          <w:sz w:val="20"/>
          <w:szCs w:val="20"/>
          <w:lang w:val="pt-BR"/>
        </w:rPr>
        <w:t>Support of soft resource availability indication for paired spectrum</w:t>
      </w:r>
      <w:r w:rsidR="002B1DE5">
        <w:rPr>
          <w:sz w:val="20"/>
          <w:szCs w:val="20"/>
          <w:lang w:val="pt-BR"/>
        </w:rPr>
        <w:t>, ZTE, Sanechips</w:t>
      </w:r>
      <w:bookmarkEnd w:id="10"/>
    </w:p>
    <w:p w:rsidR="006945DF" w:rsidRDefault="006945DF">
      <w:pPr>
        <w:spacing w:beforeLines="0" w:afterLines="0"/>
        <w:jc w:val="left"/>
      </w:pPr>
    </w:p>
    <w:sectPr w:rsidR="006945DF" w:rsidSect="006945DF">
      <w:headerReference w:type="even" r:id="rId20"/>
      <w:headerReference w:type="default" r:id="rId21"/>
      <w:footerReference w:type="even" r:id="rId22"/>
      <w:footerReference w:type="default" r:id="rId23"/>
      <w:headerReference w:type="first" r:id="rId24"/>
      <w:footerReference w:type="first" r:id="rId25"/>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9D0" w:rsidRDefault="003829D0" w:rsidP="003121E3">
      <w:pPr>
        <w:spacing w:before="120" w:after="120" w:line="240" w:lineRule="auto"/>
      </w:pPr>
      <w:r>
        <w:separator/>
      </w:r>
    </w:p>
  </w:endnote>
  <w:endnote w:type="continuationSeparator" w:id="0">
    <w:p w:rsidR="003829D0" w:rsidRDefault="003829D0" w:rsidP="003121E3">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094" w:rsidRDefault="00DD7094">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9157"/>
      <w:docPartObj>
        <w:docPartGallery w:val="Page Numbers (Bottom of Page)"/>
        <w:docPartUnique/>
      </w:docPartObj>
    </w:sdtPr>
    <w:sdtContent>
      <w:p w:rsidR="00DD7094" w:rsidRDefault="004F2AC2" w:rsidP="003121E3">
        <w:pPr>
          <w:pStyle w:val="Footer"/>
          <w:spacing w:before="120" w:after="120"/>
          <w:jc w:val="center"/>
        </w:pPr>
        <w:r>
          <w:fldChar w:fldCharType="begin"/>
        </w:r>
        <w:r w:rsidR="006E5325">
          <w:instrText xml:space="preserve"> PAGE   \* MERGEFORMAT </w:instrText>
        </w:r>
        <w:r>
          <w:fldChar w:fldCharType="separate"/>
        </w:r>
        <w:r w:rsidR="006D68C5">
          <w:rPr>
            <w:noProof/>
          </w:rPr>
          <w:t>5</w:t>
        </w:r>
        <w:r>
          <w:rPr>
            <w:noProof/>
          </w:rPr>
          <w:fldChar w:fldCharType="end"/>
        </w:r>
      </w:p>
    </w:sdtContent>
  </w:sdt>
  <w:p w:rsidR="00DD7094" w:rsidRDefault="00DD7094">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094" w:rsidRDefault="00DD7094">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9D0" w:rsidRDefault="003829D0" w:rsidP="003121E3">
      <w:pPr>
        <w:spacing w:before="120" w:after="120" w:line="240" w:lineRule="auto"/>
      </w:pPr>
      <w:r>
        <w:separator/>
      </w:r>
    </w:p>
  </w:footnote>
  <w:footnote w:type="continuationSeparator" w:id="0">
    <w:p w:rsidR="003829D0" w:rsidRDefault="003829D0" w:rsidP="003121E3">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094" w:rsidRDefault="00DD7094">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094" w:rsidRDefault="00DD7094">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094" w:rsidRDefault="00DD7094">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nsid w:val="25E03921"/>
    <w:multiLevelType w:val="multilevel"/>
    <w:tmpl w:val="25E03921"/>
    <w:lvl w:ilvl="0">
      <w:start w:val="1"/>
      <w:numFmt w:val="bullet"/>
      <w:lvlText w:val=""/>
      <w:lvlJc w:val="left"/>
      <w:pPr>
        <w:ind w:left="1138" w:hanging="360"/>
      </w:pPr>
      <w:rPr>
        <w:rFonts w:ascii="Symbol" w:hAnsi="Symbol" w:hint="default"/>
      </w:rPr>
    </w:lvl>
    <w:lvl w:ilvl="1">
      <w:start w:val="1"/>
      <w:numFmt w:val="bullet"/>
      <w:lvlText w:val="o"/>
      <w:lvlJc w:val="left"/>
      <w:pPr>
        <w:ind w:left="1858" w:hanging="360"/>
      </w:pPr>
      <w:rPr>
        <w:rFonts w:ascii="Courier New" w:hAnsi="Courier New" w:cs="Courier New" w:hint="default"/>
      </w:rPr>
    </w:lvl>
    <w:lvl w:ilvl="2">
      <w:start w:val="1"/>
      <w:numFmt w:val="bullet"/>
      <w:lvlText w:val=""/>
      <w:lvlJc w:val="left"/>
      <w:pPr>
        <w:ind w:left="2578" w:hanging="360"/>
      </w:pPr>
      <w:rPr>
        <w:rFonts w:ascii="Wingdings" w:hAnsi="Wingdings" w:hint="default"/>
      </w:rPr>
    </w:lvl>
    <w:lvl w:ilvl="3">
      <w:start w:val="1"/>
      <w:numFmt w:val="bullet"/>
      <w:lvlText w:val=""/>
      <w:lvlJc w:val="left"/>
      <w:pPr>
        <w:ind w:left="3298" w:hanging="360"/>
      </w:pPr>
      <w:rPr>
        <w:rFonts w:ascii="Symbol" w:hAnsi="Symbol" w:hint="default"/>
      </w:rPr>
    </w:lvl>
    <w:lvl w:ilvl="4">
      <w:start w:val="1"/>
      <w:numFmt w:val="bullet"/>
      <w:lvlText w:val="o"/>
      <w:lvlJc w:val="left"/>
      <w:pPr>
        <w:ind w:left="4018" w:hanging="360"/>
      </w:pPr>
      <w:rPr>
        <w:rFonts w:ascii="Courier New" w:hAnsi="Courier New" w:cs="Courier New" w:hint="default"/>
      </w:rPr>
    </w:lvl>
    <w:lvl w:ilvl="5">
      <w:start w:val="1"/>
      <w:numFmt w:val="bullet"/>
      <w:lvlText w:val=""/>
      <w:lvlJc w:val="left"/>
      <w:pPr>
        <w:ind w:left="4738" w:hanging="360"/>
      </w:pPr>
      <w:rPr>
        <w:rFonts w:ascii="Wingdings" w:hAnsi="Wingdings" w:hint="default"/>
      </w:rPr>
    </w:lvl>
    <w:lvl w:ilvl="6">
      <w:start w:val="1"/>
      <w:numFmt w:val="bullet"/>
      <w:lvlText w:val=""/>
      <w:lvlJc w:val="left"/>
      <w:pPr>
        <w:ind w:left="5458" w:hanging="360"/>
      </w:pPr>
      <w:rPr>
        <w:rFonts w:ascii="Symbol" w:hAnsi="Symbol" w:hint="default"/>
      </w:rPr>
    </w:lvl>
    <w:lvl w:ilvl="7">
      <w:start w:val="1"/>
      <w:numFmt w:val="bullet"/>
      <w:lvlText w:val="o"/>
      <w:lvlJc w:val="left"/>
      <w:pPr>
        <w:ind w:left="6178" w:hanging="360"/>
      </w:pPr>
      <w:rPr>
        <w:rFonts w:ascii="Courier New" w:hAnsi="Courier New" w:cs="Courier New" w:hint="default"/>
      </w:rPr>
    </w:lvl>
    <w:lvl w:ilvl="8">
      <w:start w:val="1"/>
      <w:numFmt w:val="bullet"/>
      <w:lvlText w:val=""/>
      <w:lvlJc w:val="left"/>
      <w:pPr>
        <w:ind w:left="6898" w:hanging="360"/>
      </w:pPr>
      <w:rPr>
        <w:rFonts w:ascii="Wingdings" w:hAnsi="Wingdings" w:hint="default"/>
      </w:rPr>
    </w:lvl>
  </w:abstractNum>
  <w:abstractNum w:abstractNumId="5">
    <w:nsid w:val="311B0699"/>
    <w:multiLevelType w:val="multilevel"/>
    <w:tmpl w:val="311B0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3922B65"/>
    <w:multiLevelType w:val="hybridMultilevel"/>
    <w:tmpl w:val="E4A4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E6E39A4"/>
    <w:multiLevelType w:val="multilevel"/>
    <w:tmpl w:val="3E6E39A4"/>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9">
    <w:nsid w:val="46CF2906"/>
    <w:multiLevelType w:val="hybridMultilevel"/>
    <w:tmpl w:val="2D846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377334"/>
    <w:multiLevelType w:val="multilevel"/>
    <w:tmpl w:val="4A3773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3">
    <w:nsid w:val="5B9367F5"/>
    <w:multiLevelType w:val="hybridMultilevel"/>
    <w:tmpl w:val="C092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14"/>
  </w:num>
  <w:num w:numId="3">
    <w:abstractNumId w:val="0"/>
  </w:num>
  <w:num w:numId="4">
    <w:abstractNumId w:val="2"/>
  </w:num>
  <w:num w:numId="5">
    <w:abstractNumId w:val="15"/>
  </w:num>
  <w:num w:numId="6">
    <w:abstractNumId w:val="1"/>
  </w:num>
  <w:num w:numId="7">
    <w:abstractNumId w:val="12"/>
  </w:num>
  <w:num w:numId="8">
    <w:abstractNumId w:val="7"/>
  </w:num>
  <w:num w:numId="9">
    <w:abstractNumId w:val="11"/>
  </w:num>
  <w:num w:numId="10">
    <w:abstractNumId w:val="8"/>
  </w:num>
  <w:num w:numId="11">
    <w:abstractNumId w:val="4"/>
  </w:num>
  <w:num w:numId="12">
    <w:abstractNumId w:val="10"/>
  </w:num>
  <w:num w:numId="13">
    <w:abstractNumId w:val="5"/>
  </w:num>
  <w:num w:numId="14">
    <w:abstractNumId w:val="6"/>
  </w:num>
  <w:num w:numId="15">
    <w:abstractNumId w:val="9"/>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53A2"/>
    <w:rsid w:val="000202C0"/>
    <w:rsid w:val="0002562E"/>
    <w:rsid w:val="000267DF"/>
    <w:rsid w:val="00027F1E"/>
    <w:rsid w:val="00051D0F"/>
    <w:rsid w:val="00052788"/>
    <w:rsid w:val="000B26FC"/>
    <w:rsid w:val="000D17FF"/>
    <w:rsid w:val="000F11CF"/>
    <w:rsid w:val="001232D4"/>
    <w:rsid w:val="001241B1"/>
    <w:rsid w:val="00143BD8"/>
    <w:rsid w:val="00145443"/>
    <w:rsid w:val="001624CD"/>
    <w:rsid w:val="00172A27"/>
    <w:rsid w:val="001A4F7B"/>
    <w:rsid w:val="001F4DB1"/>
    <w:rsid w:val="0022245F"/>
    <w:rsid w:val="00241C2F"/>
    <w:rsid w:val="00257880"/>
    <w:rsid w:val="002879C0"/>
    <w:rsid w:val="002955C2"/>
    <w:rsid w:val="002B1DE5"/>
    <w:rsid w:val="002B69E3"/>
    <w:rsid w:val="002C27CA"/>
    <w:rsid w:val="002D3394"/>
    <w:rsid w:val="002E0601"/>
    <w:rsid w:val="002E4AC2"/>
    <w:rsid w:val="002E5FB1"/>
    <w:rsid w:val="002F0461"/>
    <w:rsid w:val="003121E3"/>
    <w:rsid w:val="0031680D"/>
    <w:rsid w:val="00316A30"/>
    <w:rsid w:val="00345220"/>
    <w:rsid w:val="00356615"/>
    <w:rsid w:val="00365E7A"/>
    <w:rsid w:val="003829D0"/>
    <w:rsid w:val="00386946"/>
    <w:rsid w:val="00387D45"/>
    <w:rsid w:val="00390DF0"/>
    <w:rsid w:val="0039132A"/>
    <w:rsid w:val="003A4110"/>
    <w:rsid w:val="003B3563"/>
    <w:rsid w:val="003C08FB"/>
    <w:rsid w:val="003C446C"/>
    <w:rsid w:val="003C63A8"/>
    <w:rsid w:val="00414285"/>
    <w:rsid w:val="00421BF4"/>
    <w:rsid w:val="004270F1"/>
    <w:rsid w:val="0047353D"/>
    <w:rsid w:val="004A60A2"/>
    <w:rsid w:val="004B79A0"/>
    <w:rsid w:val="004C0359"/>
    <w:rsid w:val="004C2F83"/>
    <w:rsid w:val="004D3384"/>
    <w:rsid w:val="004E09E2"/>
    <w:rsid w:val="004F2AC2"/>
    <w:rsid w:val="00500BCB"/>
    <w:rsid w:val="005013FA"/>
    <w:rsid w:val="005039B7"/>
    <w:rsid w:val="005045E2"/>
    <w:rsid w:val="00505E2F"/>
    <w:rsid w:val="00516A66"/>
    <w:rsid w:val="00522371"/>
    <w:rsid w:val="0052359B"/>
    <w:rsid w:val="005246E7"/>
    <w:rsid w:val="00535EB6"/>
    <w:rsid w:val="00541A4E"/>
    <w:rsid w:val="00545F29"/>
    <w:rsid w:val="00551DD0"/>
    <w:rsid w:val="00553DD5"/>
    <w:rsid w:val="00556D60"/>
    <w:rsid w:val="005636C0"/>
    <w:rsid w:val="00563EBB"/>
    <w:rsid w:val="00573D6E"/>
    <w:rsid w:val="005763C2"/>
    <w:rsid w:val="00576896"/>
    <w:rsid w:val="00580EA2"/>
    <w:rsid w:val="0059363A"/>
    <w:rsid w:val="005A4C77"/>
    <w:rsid w:val="005B065E"/>
    <w:rsid w:val="005B4503"/>
    <w:rsid w:val="005B6DE3"/>
    <w:rsid w:val="005C2D97"/>
    <w:rsid w:val="005E446B"/>
    <w:rsid w:val="005F0B41"/>
    <w:rsid w:val="00623393"/>
    <w:rsid w:val="00626ECE"/>
    <w:rsid w:val="0063648C"/>
    <w:rsid w:val="00636BE2"/>
    <w:rsid w:val="00644D08"/>
    <w:rsid w:val="00652051"/>
    <w:rsid w:val="00672F4C"/>
    <w:rsid w:val="006808A8"/>
    <w:rsid w:val="006841E3"/>
    <w:rsid w:val="00690F99"/>
    <w:rsid w:val="00691A5D"/>
    <w:rsid w:val="006945DF"/>
    <w:rsid w:val="006A094C"/>
    <w:rsid w:val="006A6DCC"/>
    <w:rsid w:val="006B15D1"/>
    <w:rsid w:val="006C1830"/>
    <w:rsid w:val="006C7EEE"/>
    <w:rsid w:val="006D4629"/>
    <w:rsid w:val="006D68C5"/>
    <w:rsid w:val="006E0A37"/>
    <w:rsid w:val="006E5325"/>
    <w:rsid w:val="006E7B88"/>
    <w:rsid w:val="0070297F"/>
    <w:rsid w:val="0070453F"/>
    <w:rsid w:val="007145A1"/>
    <w:rsid w:val="00735070"/>
    <w:rsid w:val="007360CE"/>
    <w:rsid w:val="007665DF"/>
    <w:rsid w:val="007777CB"/>
    <w:rsid w:val="007B04BC"/>
    <w:rsid w:val="007B43ED"/>
    <w:rsid w:val="007B78C9"/>
    <w:rsid w:val="007C009E"/>
    <w:rsid w:val="007D333E"/>
    <w:rsid w:val="007E7055"/>
    <w:rsid w:val="007F1BE6"/>
    <w:rsid w:val="00801949"/>
    <w:rsid w:val="00801D9C"/>
    <w:rsid w:val="00816AFB"/>
    <w:rsid w:val="008263E5"/>
    <w:rsid w:val="0083140F"/>
    <w:rsid w:val="0084199B"/>
    <w:rsid w:val="00852E61"/>
    <w:rsid w:val="00860A0F"/>
    <w:rsid w:val="00862313"/>
    <w:rsid w:val="00864C59"/>
    <w:rsid w:val="0088133B"/>
    <w:rsid w:val="00896CFA"/>
    <w:rsid w:val="008B5FB1"/>
    <w:rsid w:val="00912C1B"/>
    <w:rsid w:val="00926B3A"/>
    <w:rsid w:val="00940768"/>
    <w:rsid w:val="00951A67"/>
    <w:rsid w:val="009521F1"/>
    <w:rsid w:val="0096044C"/>
    <w:rsid w:val="00970BF7"/>
    <w:rsid w:val="009A17BE"/>
    <w:rsid w:val="009A2CC8"/>
    <w:rsid w:val="009A2EE5"/>
    <w:rsid w:val="009B2134"/>
    <w:rsid w:val="009E573C"/>
    <w:rsid w:val="00A149DC"/>
    <w:rsid w:val="00A224BC"/>
    <w:rsid w:val="00A22656"/>
    <w:rsid w:val="00A42982"/>
    <w:rsid w:val="00AA1629"/>
    <w:rsid w:val="00AB341D"/>
    <w:rsid w:val="00AF3719"/>
    <w:rsid w:val="00B11F61"/>
    <w:rsid w:val="00B25274"/>
    <w:rsid w:val="00B37037"/>
    <w:rsid w:val="00B46FFB"/>
    <w:rsid w:val="00B7555D"/>
    <w:rsid w:val="00BA450D"/>
    <w:rsid w:val="00BB77BF"/>
    <w:rsid w:val="00BC7157"/>
    <w:rsid w:val="00BC7AFE"/>
    <w:rsid w:val="00BD7545"/>
    <w:rsid w:val="00BE1617"/>
    <w:rsid w:val="00BE18E1"/>
    <w:rsid w:val="00BE43B9"/>
    <w:rsid w:val="00BF20D4"/>
    <w:rsid w:val="00C42250"/>
    <w:rsid w:val="00C4368C"/>
    <w:rsid w:val="00C62479"/>
    <w:rsid w:val="00C70860"/>
    <w:rsid w:val="00C94160"/>
    <w:rsid w:val="00C95A38"/>
    <w:rsid w:val="00C972B4"/>
    <w:rsid w:val="00CA55F5"/>
    <w:rsid w:val="00CB053F"/>
    <w:rsid w:val="00CB0B03"/>
    <w:rsid w:val="00CC1A49"/>
    <w:rsid w:val="00CF3DEB"/>
    <w:rsid w:val="00CF6DCA"/>
    <w:rsid w:val="00D12230"/>
    <w:rsid w:val="00D24438"/>
    <w:rsid w:val="00D43F32"/>
    <w:rsid w:val="00D47770"/>
    <w:rsid w:val="00D569BC"/>
    <w:rsid w:val="00D70875"/>
    <w:rsid w:val="00DC0EB7"/>
    <w:rsid w:val="00DC1D12"/>
    <w:rsid w:val="00DC6400"/>
    <w:rsid w:val="00DC708B"/>
    <w:rsid w:val="00DD39EC"/>
    <w:rsid w:val="00DD7094"/>
    <w:rsid w:val="00DE63C1"/>
    <w:rsid w:val="00E14107"/>
    <w:rsid w:val="00E237E3"/>
    <w:rsid w:val="00E25964"/>
    <w:rsid w:val="00E32D38"/>
    <w:rsid w:val="00E4276A"/>
    <w:rsid w:val="00E43AEC"/>
    <w:rsid w:val="00E521B1"/>
    <w:rsid w:val="00E57AC4"/>
    <w:rsid w:val="00E92040"/>
    <w:rsid w:val="00F02BE2"/>
    <w:rsid w:val="00F12296"/>
    <w:rsid w:val="00F22613"/>
    <w:rsid w:val="00F52A83"/>
    <w:rsid w:val="00F732EA"/>
    <w:rsid w:val="00F74907"/>
    <w:rsid w:val="00F81C17"/>
    <w:rsid w:val="00FA7678"/>
    <w:rsid w:val="00FB3C0F"/>
    <w:rsid w:val="00FD2DE4"/>
    <w:rsid w:val="01694007"/>
    <w:rsid w:val="01764F01"/>
    <w:rsid w:val="01876AF7"/>
    <w:rsid w:val="019C3A05"/>
    <w:rsid w:val="01A24378"/>
    <w:rsid w:val="01BB204B"/>
    <w:rsid w:val="01C725CA"/>
    <w:rsid w:val="01CF2995"/>
    <w:rsid w:val="021E0B8F"/>
    <w:rsid w:val="023A7E5D"/>
    <w:rsid w:val="024D6B6A"/>
    <w:rsid w:val="02751E2C"/>
    <w:rsid w:val="029B04E7"/>
    <w:rsid w:val="02A549AD"/>
    <w:rsid w:val="02EE40B6"/>
    <w:rsid w:val="03073BDC"/>
    <w:rsid w:val="033F44DC"/>
    <w:rsid w:val="03B13DEA"/>
    <w:rsid w:val="03E37A5C"/>
    <w:rsid w:val="040F50F0"/>
    <w:rsid w:val="041108B1"/>
    <w:rsid w:val="04225BC0"/>
    <w:rsid w:val="044D7F0D"/>
    <w:rsid w:val="048940FA"/>
    <w:rsid w:val="052C4FC7"/>
    <w:rsid w:val="0555228E"/>
    <w:rsid w:val="05856413"/>
    <w:rsid w:val="059D1E39"/>
    <w:rsid w:val="05A278A8"/>
    <w:rsid w:val="05E078B3"/>
    <w:rsid w:val="06417BEE"/>
    <w:rsid w:val="06C54C67"/>
    <w:rsid w:val="06D50911"/>
    <w:rsid w:val="06D6577F"/>
    <w:rsid w:val="06DA4D4C"/>
    <w:rsid w:val="06EE32C9"/>
    <w:rsid w:val="07064891"/>
    <w:rsid w:val="071D167C"/>
    <w:rsid w:val="073A47AF"/>
    <w:rsid w:val="073D1F40"/>
    <w:rsid w:val="07780413"/>
    <w:rsid w:val="077D0583"/>
    <w:rsid w:val="07954073"/>
    <w:rsid w:val="079724D0"/>
    <w:rsid w:val="079E23A9"/>
    <w:rsid w:val="07B31CA3"/>
    <w:rsid w:val="07C64F6B"/>
    <w:rsid w:val="07C82A90"/>
    <w:rsid w:val="082A352F"/>
    <w:rsid w:val="0851464F"/>
    <w:rsid w:val="08782D33"/>
    <w:rsid w:val="087E4D13"/>
    <w:rsid w:val="08A55ED7"/>
    <w:rsid w:val="08C349D1"/>
    <w:rsid w:val="08D147B4"/>
    <w:rsid w:val="091361D7"/>
    <w:rsid w:val="09354BDA"/>
    <w:rsid w:val="096952A6"/>
    <w:rsid w:val="096E0747"/>
    <w:rsid w:val="097B4AE5"/>
    <w:rsid w:val="098B422A"/>
    <w:rsid w:val="09972C4E"/>
    <w:rsid w:val="099A4C25"/>
    <w:rsid w:val="09D57250"/>
    <w:rsid w:val="09F67CD5"/>
    <w:rsid w:val="0A1C4D5C"/>
    <w:rsid w:val="0A1E0BD1"/>
    <w:rsid w:val="0A2A3B5C"/>
    <w:rsid w:val="0A661D59"/>
    <w:rsid w:val="0A814E16"/>
    <w:rsid w:val="0AA7294A"/>
    <w:rsid w:val="0AAE4D33"/>
    <w:rsid w:val="0AD0416B"/>
    <w:rsid w:val="0AD07E35"/>
    <w:rsid w:val="0AEA7216"/>
    <w:rsid w:val="0B295675"/>
    <w:rsid w:val="0B732094"/>
    <w:rsid w:val="0B870DDB"/>
    <w:rsid w:val="0B884441"/>
    <w:rsid w:val="0B8F54B6"/>
    <w:rsid w:val="0B9E71DF"/>
    <w:rsid w:val="0BB04D20"/>
    <w:rsid w:val="0C255871"/>
    <w:rsid w:val="0C635466"/>
    <w:rsid w:val="0C900C57"/>
    <w:rsid w:val="0C935E91"/>
    <w:rsid w:val="0C9D30C2"/>
    <w:rsid w:val="0CBF1554"/>
    <w:rsid w:val="0D0F6620"/>
    <w:rsid w:val="0D167A71"/>
    <w:rsid w:val="0D297F0F"/>
    <w:rsid w:val="0D503678"/>
    <w:rsid w:val="0D746A50"/>
    <w:rsid w:val="0D784804"/>
    <w:rsid w:val="0DB6345E"/>
    <w:rsid w:val="0DC55238"/>
    <w:rsid w:val="0DCD3EA6"/>
    <w:rsid w:val="0DF96AE9"/>
    <w:rsid w:val="0E172BD0"/>
    <w:rsid w:val="0E1D7B7F"/>
    <w:rsid w:val="0E42372C"/>
    <w:rsid w:val="0E7F55B8"/>
    <w:rsid w:val="0E9B2A6B"/>
    <w:rsid w:val="0EC71015"/>
    <w:rsid w:val="0EC96BBA"/>
    <w:rsid w:val="0EDA1A8F"/>
    <w:rsid w:val="0F093DAA"/>
    <w:rsid w:val="0F177231"/>
    <w:rsid w:val="0F310742"/>
    <w:rsid w:val="0F4D2174"/>
    <w:rsid w:val="0F54322C"/>
    <w:rsid w:val="0F63585D"/>
    <w:rsid w:val="0F69111E"/>
    <w:rsid w:val="0FDC43DB"/>
    <w:rsid w:val="0FF53599"/>
    <w:rsid w:val="102B1D21"/>
    <w:rsid w:val="10770D42"/>
    <w:rsid w:val="10A36FD2"/>
    <w:rsid w:val="10A50104"/>
    <w:rsid w:val="10B20ACD"/>
    <w:rsid w:val="10E40B4A"/>
    <w:rsid w:val="112724B2"/>
    <w:rsid w:val="115B3410"/>
    <w:rsid w:val="1174440C"/>
    <w:rsid w:val="11785FA3"/>
    <w:rsid w:val="119229B8"/>
    <w:rsid w:val="119D7849"/>
    <w:rsid w:val="11C23280"/>
    <w:rsid w:val="121248A4"/>
    <w:rsid w:val="1242135C"/>
    <w:rsid w:val="127565D6"/>
    <w:rsid w:val="128A7265"/>
    <w:rsid w:val="12A8501B"/>
    <w:rsid w:val="12B945C1"/>
    <w:rsid w:val="131F32FA"/>
    <w:rsid w:val="13301ADB"/>
    <w:rsid w:val="13317CD1"/>
    <w:rsid w:val="133913DD"/>
    <w:rsid w:val="1350063D"/>
    <w:rsid w:val="136019A1"/>
    <w:rsid w:val="138802B4"/>
    <w:rsid w:val="1389040E"/>
    <w:rsid w:val="138F18CE"/>
    <w:rsid w:val="139E0A9C"/>
    <w:rsid w:val="139F2F93"/>
    <w:rsid w:val="13A1683F"/>
    <w:rsid w:val="13AE5627"/>
    <w:rsid w:val="13EB14DD"/>
    <w:rsid w:val="1437392C"/>
    <w:rsid w:val="143B2D27"/>
    <w:rsid w:val="149A0294"/>
    <w:rsid w:val="14A327A9"/>
    <w:rsid w:val="14C20D1C"/>
    <w:rsid w:val="14DA3DA1"/>
    <w:rsid w:val="15067DB4"/>
    <w:rsid w:val="15092004"/>
    <w:rsid w:val="151B6169"/>
    <w:rsid w:val="154178EA"/>
    <w:rsid w:val="15820826"/>
    <w:rsid w:val="15970CB0"/>
    <w:rsid w:val="15BC2DFB"/>
    <w:rsid w:val="15DC4D4B"/>
    <w:rsid w:val="15F03D23"/>
    <w:rsid w:val="162E6029"/>
    <w:rsid w:val="163D2101"/>
    <w:rsid w:val="16465B94"/>
    <w:rsid w:val="16511361"/>
    <w:rsid w:val="1687278D"/>
    <w:rsid w:val="168B40B5"/>
    <w:rsid w:val="169C6BD0"/>
    <w:rsid w:val="16BE13E9"/>
    <w:rsid w:val="16C20156"/>
    <w:rsid w:val="16F1108D"/>
    <w:rsid w:val="16FB5F3B"/>
    <w:rsid w:val="17155857"/>
    <w:rsid w:val="17164289"/>
    <w:rsid w:val="171A3DA7"/>
    <w:rsid w:val="178D0926"/>
    <w:rsid w:val="17950508"/>
    <w:rsid w:val="17AB26FC"/>
    <w:rsid w:val="17C37718"/>
    <w:rsid w:val="17D007B6"/>
    <w:rsid w:val="17F5641C"/>
    <w:rsid w:val="17FC51D9"/>
    <w:rsid w:val="17FF28A5"/>
    <w:rsid w:val="18315770"/>
    <w:rsid w:val="189F63F4"/>
    <w:rsid w:val="19010C43"/>
    <w:rsid w:val="19084C73"/>
    <w:rsid w:val="19201A32"/>
    <w:rsid w:val="19F87860"/>
    <w:rsid w:val="1A054259"/>
    <w:rsid w:val="1A08634D"/>
    <w:rsid w:val="1A1863A4"/>
    <w:rsid w:val="1A296717"/>
    <w:rsid w:val="1A8123D9"/>
    <w:rsid w:val="1AFB32C8"/>
    <w:rsid w:val="1B2577E2"/>
    <w:rsid w:val="1B424FF1"/>
    <w:rsid w:val="1B440D00"/>
    <w:rsid w:val="1B777BA8"/>
    <w:rsid w:val="1B7C17A3"/>
    <w:rsid w:val="1B7F6005"/>
    <w:rsid w:val="1B83264C"/>
    <w:rsid w:val="1B8D2E90"/>
    <w:rsid w:val="1BDF4AB1"/>
    <w:rsid w:val="1C12027B"/>
    <w:rsid w:val="1C132CB9"/>
    <w:rsid w:val="1C504281"/>
    <w:rsid w:val="1C5E342A"/>
    <w:rsid w:val="1C795227"/>
    <w:rsid w:val="1CA72CF1"/>
    <w:rsid w:val="1CAE0A20"/>
    <w:rsid w:val="1CB70B42"/>
    <w:rsid w:val="1CCC26CA"/>
    <w:rsid w:val="1CCD4993"/>
    <w:rsid w:val="1CDD1467"/>
    <w:rsid w:val="1D172E57"/>
    <w:rsid w:val="1D3115FF"/>
    <w:rsid w:val="1DBB6A6B"/>
    <w:rsid w:val="1DE74279"/>
    <w:rsid w:val="1DF10E6A"/>
    <w:rsid w:val="1E385296"/>
    <w:rsid w:val="1E40264C"/>
    <w:rsid w:val="1E606C25"/>
    <w:rsid w:val="1E9D6342"/>
    <w:rsid w:val="1EAD27B4"/>
    <w:rsid w:val="1EB16CEA"/>
    <w:rsid w:val="1EBD7FBA"/>
    <w:rsid w:val="1ECD1E7C"/>
    <w:rsid w:val="1EE8230A"/>
    <w:rsid w:val="1EED2D0F"/>
    <w:rsid w:val="1EF73789"/>
    <w:rsid w:val="1F11202A"/>
    <w:rsid w:val="1F44338C"/>
    <w:rsid w:val="1F621AC5"/>
    <w:rsid w:val="1F740D19"/>
    <w:rsid w:val="1FAA599D"/>
    <w:rsid w:val="1FB9295C"/>
    <w:rsid w:val="1FD563CF"/>
    <w:rsid w:val="1FEE796A"/>
    <w:rsid w:val="20272806"/>
    <w:rsid w:val="204E6676"/>
    <w:rsid w:val="205D1519"/>
    <w:rsid w:val="205F5316"/>
    <w:rsid w:val="2095594A"/>
    <w:rsid w:val="20A04203"/>
    <w:rsid w:val="20B9014D"/>
    <w:rsid w:val="210C40D4"/>
    <w:rsid w:val="21247254"/>
    <w:rsid w:val="212D37D3"/>
    <w:rsid w:val="21407F52"/>
    <w:rsid w:val="217F33D3"/>
    <w:rsid w:val="218A183E"/>
    <w:rsid w:val="2195668B"/>
    <w:rsid w:val="21B93C18"/>
    <w:rsid w:val="21BC7634"/>
    <w:rsid w:val="21BE5AD4"/>
    <w:rsid w:val="21D61543"/>
    <w:rsid w:val="2207503E"/>
    <w:rsid w:val="22193EB0"/>
    <w:rsid w:val="22344B8C"/>
    <w:rsid w:val="224B31E3"/>
    <w:rsid w:val="225E6D36"/>
    <w:rsid w:val="22607DC6"/>
    <w:rsid w:val="226E690F"/>
    <w:rsid w:val="228B3C29"/>
    <w:rsid w:val="22DC68C8"/>
    <w:rsid w:val="23081A49"/>
    <w:rsid w:val="231D546C"/>
    <w:rsid w:val="237D7407"/>
    <w:rsid w:val="23A71AEF"/>
    <w:rsid w:val="23C65CBB"/>
    <w:rsid w:val="240A50F9"/>
    <w:rsid w:val="241B144A"/>
    <w:rsid w:val="241F451E"/>
    <w:rsid w:val="24212C5F"/>
    <w:rsid w:val="2431068B"/>
    <w:rsid w:val="2438659C"/>
    <w:rsid w:val="245C52F8"/>
    <w:rsid w:val="2463385E"/>
    <w:rsid w:val="246C7E4D"/>
    <w:rsid w:val="247C3380"/>
    <w:rsid w:val="24803C7F"/>
    <w:rsid w:val="24892C19"/>
    <w:rsid w:val="24A5790D"/>
    <w:rsid w:val="24B64A28"/>
    <w:rsid w:val="24DF2713"/>
    <w:rsid w:val="24E170AA"/>
    <w:rsid w:val="250B2026"/>
    <w:rsid w:val="250D568B"/>
    <w:rsid w:val="25134332"/>
    <w:rsid w:val="251E37AC"/>
    <w:rsid w:val="252C45B2"/>
    <w:rsid w:val="25724688"/>
    <w:rsid w:val="257E508F"/>
    <w:rsid w:val="25CC3733"/>
    <w:rsid w:val="25DA0EE9"/>
    <w:rsid w:val="25E506CA"/>
    <w:rsid w:val="262E711A"/>
    <w:rsid w:val="26327BC1"/>
    <w:rsid w:val="26414638"/>
    <w:rsid w:val="267C2BA3"/>
    <w:rsid w:val="269F1038"/>
    <w:rsid w:val="26A33D1F"/>
    <w:rsid w:val="26AB5F0B"/>
    <w:rsid w:val="26B038BE"/>
    <w:rsid w:val="26BF5712"/>
    <w:rsid w:val="27254C9D"/>
    <w:rsid w:val="27AA6552"/>
    <w:rsid w:val="27AB7429"/>
    <w:rsid w:val="27BA0428"/>
    <w:rsid w:val="27D46B0A"/>
    <w:rsid w:val="2803130A"/>
    <w:rsid w:val="2815431F"/>
    <w:rsid w:val="285C053E"/>
    <w:rsid w:val="28893917"/>
    <w:rsid w:val="28C77523"/>
    <w:rsid w:val="29512530"/>
    <w:rsid w:val="29697554"/>
    <w:rsid w:val="296B0BA0"/>
    <w:rsid w:val="297A484B"/>
    <w:rsid w:val="29EA6437"/>
    <w:rsid w:val="29FA7F26"/>
    <w:rsid w:val="2A0D5A73"/>
    <w:rsid w:val="2A6A41EB"/>
    <w:rsid w:val="2A717471"/>
    <w:rsid w:val="2A737817"/>
    <w:rsid w:val="2A846944"/>
    <w:rsid w:val="2A940E72"/>
    <w:rsid w:val="2AC47DA0"/>
    <w:rsid w:val="2AD316F4"/>
    <w:rsid w:val="2AEA6D4B"/>
    <w:rsid w:val="2AED3F30"/>
    <w:rsid w:val="2AFE074F"/>
    <w:rsid w:val="2B135CD1"/>
    <w:rsid w:val="2B3E14CC"/>
    <w:rsid w:val="2B505571"/>
    <w:rsid w:val="2B5D7E39"/>
    <w:rsid w:val="2B774832"/>
    <w:rsid w:val="2B8B50DE"/>
    <w:rsid w:val="2B940C41"/>
    <w:rsid w:val="2C2E03A4"/>
    <w:rsid w:val="2C3C0810"/>
    <w:rsid w:val="2C40339C"/>
    <w:rsid w:val="2C592A41"/>
    <w:rsid w:val="2C6A0806"/>
    <w:rsid w:val="2C8533BD"/>
    <w:rsid w:val="2C863BDD"/>
    <w:rsid w:val="2C8D4DF2"/>
    <w:rsid w:val="2CB85EBB"/>
    <w:rsid w:val="2CF47E87"/>
    <w:rsid w:val="2CFD4C94"/>
    <w:rsid w:val="2D026F13"/>
    <w:rsid w:val="2D0B4ECA"/>
    <w:rsid w:val="2D442F9B"/>
    <w:rsid w:val="2D4F7415"/>
    <w:rsid w:val="2D55663C"/>
    <w:rsid w:val="2DA11379"/>
    <w:rsid w:val="2DCC7592"/>
    <w:rsid w:val="2DCF7C84"/>
    <w:rsid w:val="2E4B2A44"/>
    <w:rsid w:val="2E593BD9"/>
    <w:rsid w:val="2E642A90"/>
    <w:rsid w:val="2E7E6696"/>
    <w:rsid w:val="2E9B5E4D"/>
    <w:rsid w:val="2EAE4EE3"/>
    <w:rsid w:val="2EC10058"/>
    <w:rsid w:val="2EE11BBB"/>
    <w:rsid w:val="2EF26E54"/>
    <w:rsid w:val="2F0507D2"/>
    <w:rsid w:val="2F1251F2"/>
    <w:rsid w:val="2F12691B"/>
    <w:rsid w:val="2F145DEF"/>
    <w:rsid w:val="2F164D03"/>
    <w:rsid w:val="2F32386F"/>
    <w:rsid w:val="2F4041C5"/>
    <w:rsid w:val="2F527C47"/>
    <w:rsid w:val="2F5F18C7"/>
    <w:rsid w:val="2F680FB0"/>
    <w:rsid w:val="2F763010"/>
    <w:rsid w:val="2F7E6C81"/>
    <w:rsid w:val="2FA43556"/>
    <w:rsid w:val="2FAB3DD5"/>
    <w:rsid w:val="2FF35C7F"/>
    <w:rsid w:val="300C3127"/>
    <w:rsid w:val="30757753"/>
    <w:rsid w:val="30962F3E"/>
    <w:rsid w:val="30D17E68"/>
    <w:rsid w:val="30DD0B04"/>
    <w:rsid w:val="30FF2795"/>
    <w:rsid w:val="3104005C"/>
    <w:rsid w:val="31041101"/>
    <w:rsid w:val="310D2A9F"/>
    <w:rsid w:val="316C03FB"/>
    <w:rsid w:val="31915735"/>
    <w:rsid w:val="31BA37C1"/>
    <w:rsid w:val="31DF72E8"/>
    <w:rsid w:val="31F51E71"/>
    <w:rsid w:val="32052414"/>
    <w:rsid w:val="321340A6"/>
    <w:rsid w:val="32301AE3"/>
    <w:rsid w:val="3249317D"/>
    <w:rsid w:val="326239D6"/>
    <w:rsid w:val="32743FD7"/>
    <w:rsid w:val="329A6ACE"/>
    <w:rsid w:val="329F03DF"/>
    <w:rsid w:val="32A06931"/>
    <w:rsid w:val="32B2173A"/>
    <w:rsid w:val="32C71585"/>
    <w:rsid w:val="32DA4D50"/>
    <w:rsid w:val="32E567A7"/>
    <w:rsid w:val="32F7144A"/>
    <w:rsid w:val="331D2C3A"/>
    <w:rsid w:val="33797245"/>
    <w:rsid w:val="337D5E43"/>
    <w:rsid w:val="338C04D6"/>
    <w:rsid w:val="33B63187"/>
    <w:rsid w:val="33D364EE"/>
    <w:rsid w:val="34163C77"/>
    <w:rsid w:val="34362B69"/>
    <w:rsid w:val="34391107"/>
    <w:rsid w:val="3439569D"/>
    <w:rsid w:val="345405F6"/>
    <w:rsid w:val="34786487"/>
    <w:rsid w:val="348E4BFF"/>
    <w:rsid w:val="349F636B"/>
    <w:rsid w:val="34C34180"/>
    <w:rsid w:val="34C737E6"/>
    <w:rsid w:val="34DE5DCD"/>
    <w:rsid w:val="34E1194D"/>
    <w:rsid w:val="350C7A1A"/>
    <w:rsid w:val="351A4C15"/>
    <w:rsid w:val="357205B3"/>
    <w:rsid w:val="35885313"/>
    <w:rsid w:val="35BF15C3"/>
    <w:rsid w:val="35DE3F72"/>
    <w:rsid w:val="35DF3A8D"/>
    <w:rsid w:val="360B1D73"/>
    <w:rsid w:val="36144313"/>
    <w:rsid w:val="361F3323"/>
    <w:rsid w:val="3651059D"/>
    <w:rsid w:val="365F023B"/>
    <w:rsid w:val="36C16D48"/>
    <w:rsid w:val="36DF520B"/>
    <w:rsid w:val="36E60988"/>
    <w:rsid w:val="36E93760"/>
    <w:rsid w:val="36F073CE"/>
    <w:rsid w:val="36FB6EFA"/>
    <w:rsid w:val="37157B14"/>
    <w:rsid w:val="371B7DB3"/>
    <w:rsid w:val="373A314E"/>
    <w:rsid w:val="37515AFF"/>
    <w:rsid w:val="37523682"/>
    <w:rsid w:val="376855C9"/>
    <w:rsid w:val="37712677"/>
    <w:rsid w:val="37714CBA"/>
    <w:rsid w:val="3784394E"/>
    <w:rsid w:val="37D02183"/>
    <w:rsid w:val="37D20EE5"/>
    <w:rsid w:val="37E3516A"/>
    <w:rsid w:val="37F00D14"/>
    <w:rsid w:val="37F21BD6"/>
    <w:rsid w:val="37F434A4"/>
    <w:rsid w:val="38144F46"/>
    <w:rsid w:val="381D0C5E"/>
    <w:rsid w:val="38356861"/>
    <w:rsid w:val="38393323"/>
    <w:rsid w:val="38410CEB"/>
    <w:rsid w:val="388247F6"/>
    <w:rsid w:val="38900AD9"/>
    <w:rsid w:val="389729BC"/>
    <w:rsid w:val="38AB1CD2"/>
    <w:rsid w:val="38AE3BB0"/>
    <w:rsid w:val="38D77892"/>
    <w:rsid w:val="38F73026"/>
    <w:rsid w:val="39882443"/>
    <w:rsid w:val="39B535F0"/>
    <w:rsid w:val="39DB336A"/>
    <w:rsid w:val="39EC7EBC"/>
    <w:rsid w:val="3A0B1A36"/>
    <w:rsid w:val="3A1F636F"/>
    <w:rsid w:val="3A331D5E"/>
    <w:rsid w:val="3A370821"/>
    <w:rsid w:val="3A4C17D3"/>
    <w:rsid w:val="3A5D3D12"/>
    <w:rsid w:val="3A9D37FB"/>
    <w:rsid w:val="3AB06E32"/>
    <w:rsid w:val="3AC96B4A"/>
    <w:rsid w:val="3ACB5746"/>
    <w:rsid w:val="3B002B68"/>
    <w:rsid w:val="3B070AA1"/>
    <w:rsid w:val="3B0F6F35"/>
    <w:rsid w:val="3B343541"/>
    <w:rsid w:val="3B54709C"/>
    <w:rsid w:val="3B7042E5"/>
    <w:rsid w:val="3BA008F2"/>
    <w:rsid w:val="3BAB221C"/>
    <w:rsid w:val="3BB20883"/>
    <w:rsid w:val="3BB22A62"/>
    <w:rsid w:val="3BC14736"/>
    <w:rsid w:val="3BE83E67"/>
    <w:rsid w:val="3BEB5061"/>
    <w:rsid w:val="3C0C7420"/>
    <w:rsid w:val="3C342CB5"/>
    <w:rsid w:val="3CA02A19"/>
    <w:rsid w:val="3CA142B8"/>
    <w:rsid w:val="3CCC4BD1"/>
    <w:rsid w:val="3CE10723"/>
    <w:rsid w:val="3CE866EC"/>
    <w:rsid w:val="3CEF2214"/>
    <w:rsid w:val="3CF8749F"/>
    <w:rsid w:val="3CFE1EA1"/>
    <w:rsid w:val="3D0B3DD7"/>
    <w:rsid w:val="3D1F0EBF"/>
    <w:rsid w:val="3D3449EE"/>
    <w:rsid w:val="3D3C128E"/>
    <w:rsid w:val="3D6371C7"/>
    <w:rsid w:val="3DA8275C"/>
    <w:rsid w:val="3DBC5C66"/>
    <w:rsid w:val="3DCF028A"/>
    <w:rsid w:val="3E2B7359"/>
    <w:rsid w:val="3E441C7D"/>
    <w:rsid w:val="3E537B52"/>
    <w:rsid w:val="3E774042"/>
    <w:rsid w:val="3E796FCD"/>
    <w:rsid w:val="3E99111F"/>
    <w:rsid w:val="3E9A4FB2"/>
    <w:rsid w:val="3EF764A0"/>
    <w:rsid w:val="3F2C44E8"/>
    <w:rsid w:val="3F831F54"/>
    <w:rsid w:val="3F943749"/>
    <w:rsid w:val="3F9F3E20"/>
    <w:rsid w:val="3FB5755C"/>
    <w:rsid w:val="3FC60A1C"/>
    <w:rsid w:val="3FC956FF"/>
    <w:rsid w:val="3FF309D1"/>
    <w:rsid w:val="400F1A8E"/>
    <w:rsid w:val="4055270D"/>
    <w:rsid w:val="408C090C"/>
    <w:rsid w:val="40A36A71"/>
    <w:rsid w:val="40B17969"/>
    <w:rsid w:val="40DB36E7"/>
    <w:rsid w:val="410045B8"/>
    <w:rsid w:val="410E4736"/>
    <w:rsid w:val="416130D3"/>
    <w:rsid w:val="41666EAD"/>
    <w:rsid w:val="41A87B35"/>
    <w:rsid w:val="41D3631F"/>
    <w:rsid w:val="41D376E9"/>
    <w:rsid w:val="41F40A4F"/>
    <w:rsid w:val="41F466FD"/>
    <w:rsid w:val="421215FC"/>
    <w:rsid w:val="42217CB3"/>
    <w:rsid w:val="42A67A24"/>
    <w:rsid w:val="42AB0C08"/>
    <w:rsid w:val="42D846B9"/>
    <w:rsid w:val="42EE5981"/>
    <w:rsid w:val="42F94010"/>
    <w:rsid w:val="431101F2"/>
    <w:rsid w:val="43407E5D"/>
    <w:rsid w:val="43A530D5"/>
    <w:rsid w:val="43A63ACD"/>
    <w:rsid w:val="43A7465A"/>
    <w:rsid w:val="43DD5A2B"/>
    <w:rsid w:val="43F80349"/>
    <w:rsid w:val="44010F7F"/>
    <w:rsid w:val="440962BF"/>
    <w:rsid w:val="440D5045"/>
    <w:rsid w:val="44136EA0"/>
    <w:rsid w:val="44683FA9"/>
    <w:rsid w:val="44B77123"/>
    <w:rsid w:val="44C40C6E"/>
    <w:rsid w:val="44E438A4"/>
    <w:rsid w:val="44F14EB5"/>
    <w:rsid w:val="451927B1"/>
    <w:rsid w:val="45582EB6"/>
    <w:rsid w:val="45684AB3"/>
    <w:rsid w:val="457A637E"/>
    <w:rsid w:val="457C5A2E"/>
    <w:rsid w:val="459247E8"/>
    <w:rsid w:val="45A57801"/>
    <w:rsid w:val="45BE6191"/>
    <w:rsid w:val="460C5979"/>
    <w:rsid w:val="462F15B4"/>
    <w:rsid w:val="464D67A7"/>
    <w:rsid w:val="4654234E"/>
    <w:rsid w:val="46950871"/>
    <w:rsid w:val="46F376B5"/>
    <w:rsid w:val="470E1C44"/>
    <w:rsid w:val="47120A94"/>
    <w:rsid w:val="472D76EC"/>
    <w:rsid w:val="473E0378"/>
    <w:rsid w:val="47770D34"/>
    <w:rsid w:val="477941E7"/>
    <w:rsid w:val="477F3153"/>
    <w:rsid w:val="47913E0A"/>
    <w:rsid w:val="47A90F91"/>
    <w:rsid w:val="47B00298"/>
    <w:rsid w:val="47BB2256"/>
    <w:rsid w:val="47C01792"/>
    <w:rsid w:val="47C7066A"/>
    <w:rsid w:val="47CC2B23"/>
    <w:rsid w:val="47D412AD"/>
    <w:rsid w:val="4808150F"/>
    <w:rsid w:val="48550A76"/>
    <w:rsid w:val="487713F0"/>
    <w:rsid w:val="488323FD"/>
    <w:rsid w:val="48B01327"/>
    <w:rsid w:val="48D1344C"/>
    <w:rsid w:val="48D23129"/>
    <w:rsid w:val="48E73AB4"/>
    <w:rsid w:val="49197FB0"/>
    <w:rsid w:val="493578C2"/>
    <w:rsid w:val="494D2151"/>
    <w:rsid w:val="49552E6B"/>
    <w:rsid w:val="499076B9"/>
    <w:rsid w:val="49E9233D"/>
    <w:rsid w:val="4A091955"/>
    <w:rsid w:val="4A5743A3"/>
    <w:rsid w:val="4A613930"/>
    <w:rsid w:val="4A722963"/>
    <w:rsid w:val="4A873B4F"/>
    <w:rsid w:val="4AAD1944"/>
    <w:rsid w:val="4AAE64B2"/>
    <w:rsid w:val="4AC31003"/>
    <w:rsid w:val="4ACC4FFF"/>
    <w:rsid w:val="4ACC5E85"/>
    <w:rsid w:val="4AE93159"/>
    <w:rsid w:val="4B283586"/>
    <w:rsid w:val="4B440553"/>
    <w:rsid w:val="4B5460CA"/>
    <w:rsid w:val="4B8F34D0"/>
    <w:rsid w:val="4B9B1C48"/>
    <w:rsid w:val="4BD0339A"/>
    <w:rsid w:val="4C0C5A57"/>
    <w:rsid w:val="4C0E7BC3"/>
    <w:rsid w:val="4C2536DE"/>
    <w:rsid w:val="4C29524D"/>
    <w:rsid w:val="4CC9255E"/>
    <w:rsid w:val="4D462159"/>
    <w:rsid w:val="4D5C5FAC"/>
    <w:rsid w:val="4D9429A8"/>
    <w:rsid w:val="4DA047C6"/>
    <w:rsid w:val="4DA13E5A"/>
    <w:rsid w:val="4DBF6E51"/>
    <w:rsid w:val="4DC605B6"/>
    <w:rsid w:val="4DD807D4"/>
    <w:rsid w:val="4DEC0985"/>
    <w:rsid w:val="4DF35865"/>
    <w:rsid w:val="4E192AC4"/>
    <w:rsid w:val="4E27683A"/>
    <w:rsid w:val="4E5475D2"/>
    <w:rsid w:val="4E9836A8"/>
    <w:rsid w:val="4EB23297"/>
    <w:rsid w:val="4EC50D95"/>
    <w:rsid w:val="4EC62132"/>
    <w:rsid w:val="4EC705EC"/>
    <w:rsid w:val="4F027C1E"/>
    <w:rsid w:val="4F267056"/>
    <w:rsid w:val="4F2765B1"/>
    <w:rsid w:val="4F285975"/>
    <w:rsid w:val="4F7E333B"/>
    <w:rsid w:val="4FBB5E80"/>
    <w:rsid w:val="4FC40B58"/>
    <w:rsid w:val="4FD929B3"/>
    <w:rsid w:val="4FDF5430"/>
    <w:rsid w:val="50141410"/>
    <w:rsid w:val="503E4709"/>
    <w:rsid w:val="50554158"/>
    <w:rsid w:val="50B4498B"/>
    <w:rsid w:val="50B91313"/>
    <w:rsid w:val="50C05272"/>
    <w:rsid w:val="50C53B21"/>
    <w:rsid w:val="510D4C8D"/>
    <w:rsid w:val="512C687A"/>
    <w:rsid w:val="51372C8B"/>
    <w:rsid w:val="51796EDE"/>
    <w:rsid w:val="517D4D31"/>
    <w:rsid w:val="51822456"/>
    <w:rsid w:val="51867298"/>
    <w:rsid w:val="51AD0A0B"/>
    <w:rsid w:val="51DA688F"/>
    <w:rsid w:val="51DB13CA"/>
    <w:rsid w:val="51EB25FD"/>
    <w:rsid w:val="52195EDF"/>
    <w:rsid w:val="52313387"/>
    <w:rsid w:val="52326E4F"/>
    <w:rsid w:val="524060E4"/>
    <w:rsid w:val="5251759D"/>
    <w:rsid w:val="525C66C5"/>
    <w:rsid w:val="52744531"/>
    <w:rsid w:val="52B63FF4"/>
    <w:rsid w:val="52BC5461"/>
    <w:rsid w:val="52C0248E"/>
    <w:rsid w:val="52CC766D"/>
    <w:rsid w:val="52E04D27"/>
    <w:rsid w:val="52EB7199"/>
    <w:rsid w:val="53104F2D"/>
    <w:rsid w:val="531C1FC4"/>
    <w:rsid w:val="533C14FB"/>
    <w:rsid w:val="538F5761"/>
    <w:rsid w:val="539A390F"/>
    <w:rsid w:val="53A41F8E"/>
    <w:rsid w:val="53AD6B40"/>
    <w:rsid w:val="53BB31B7"/>
    <w:rsid w:val="53C42260"/>
    <w:rsid w:val="53C60EE7"/>
    <w:rsid w:val="53DB3477"/>
    <w:rsid w:val="53E52AD5"/>
    <w:rsid w:val="53F62D3A"/>
    <w:rsid w:val="541E0EA0"/>
    <w:rsid w:val="545177CB"/>
    <w:rsid w:val="546224E7"/>
    <w:rsid w:val="549366B6"/>
    <w:rsid w:val="54AF6B42"/>
    <w:rsid w:val="54C960CE"/>
    <w:rsid w:val="55406494"/>
    <w:rsid w:val="5545563A"/>
    <w:rsid w:val="555574E1"/>
    <w:rsid w:val="55593320"/>
    <w:rsid w:val="555A684A"/>
    <w:rsid w:val="558948AE"/>
    <w:rsid w:val="55C14585"/>
    <w:rsid w:val="55D67401"/>
    <w:rsid w:val="55DB558C"/>
    <w:rsid w:val="55DD6F2A"/>
    <w:rsid w:val="55E66DE6"/>
    <w:rsid w:val="55FB27DB"/>
    <w:rsid w:val="55FD3A1F"/>
    <w:rsid w:val="55FE02F9"/>
    <w:rsid w:val="56013F76"/>
    <w:rsid w:val="565C7EE0"/>
    <w:rsid w:val="568B355D"/>
    <w:rsid w:val="56947ADA"/>
    <w:rsid w:val="569D1DF0"/>
    <w:rsid w:val="56AA25FF"/>
    <w:rsid w:val="56E23970"/>
    <w:rsid w:val="573C506B"/>
    <w:rsid w:val="574F681F"/>
    <w:rsid w:val="575A7304"/>
    <w:rsid w:val="576B5FA2"/>
    <w:rsid w:val="577A3C7D"/>
    <w:rsid w:val="577B6BC3"/>
    <w:rsid w:val="577D247B"/>
    <w:rsid w:val="578F220A"/>
    <w:rsid w:val="579C13D2"/>
    <w:rsid w:val="57C96158"/>
    <w:rsid w:val="57F74C7A"/>
    <w:rsid w:val="57FB73AA"/>
    <w:rsid w:val="57FC07D9"/>
    <w:rsid w:val="58093FD9"/>
    <w:rsid w:val="58177E10"/>
    <w:rsid w:val="581B5327"/>
    <w:rsid w:val="58500F22"/>
    <w:rsid w:val="58710315"/>
    <w:rsid w:val="58B06786"/>
    <w:rsid w:val="58B614DA"/>
    <w:rsid w:val="58BC5557"/>
    <w:rsid w:val="58E61853"/>
    <w:rsid w:val="58E92816"/>
    <w:rsid w:val="58FB5F91"/>
    <w:rsid w:val="590208B8"/>
    <w:rsid w:val="5918037B"/>
    <w:rsid w:val="591C0009"/>
    <w:rsid w:val="59220E85"/>
    <w:rsid w:val="59632EA1"/>
    <w:rsid w:val="596D1F3A"/>
    <w:rsid w:val="59907FE7"/>
    <w:rsid w:val="59E61B64"/>
    <w:rsid w:val="5A2046D4"/>
    <w:rsid w:val="5A3E7838"/>
    <w:rsid w:val="5A6B71CB"/>
    <w:rsid w:val="5A6F78C6"/>
    <w:rsid w:val="5AAE2D2A"/>
    <w:rsid w:val="5ACF0F3A"/>
    <w:rsid w:val="5AD22BBE"/>
    <w:rsid w:val="5B687229"/>
    <w:rsid w:val="5B6C26DE"/>
    <w:rsid w:val="5B990441"/>
    <w:rsid w:val="5BCA199C"/>
    <w:rsid w:val="5BF92461"/>
    <w:rsid w:val="5C5F6E9A"/>
    <w:rsid w:val="5C6B1600"/>
    <w:rsid w:val="5C7960E9"/>
    <w:rsid w:val="5C921AD0"/>
    <w:rsid w:val="5CC66B99"/>
    <w:rsid w:val="5CFA3ADB"/>
    <w:rsid w:val="5D4C7AD8"/>
    <w:rsid w:val="5D6A62E1"/>
    <w:rsid w:val="5D787300"/>
    <w:rsid w:val="5D9A19C7"/>
    <w:rsid w:val="5D9D35FA"/>
    <w:rsid w:val="5DC44AF7"/>
    <w:rsid w:val="5DFD51DB"/>
    <w:rsid w:val="5E0D36E5"/>
    <w:rsid w:val="5E911548"/>
    <w:rsid w:val="5EA6379D"/>
    <w:rsid w:val="5EE4122E"/>
    <w:rsid w:val="5EFC1424"/>
    <w:rsid w:val="5F50230E"/>
    <w:rsid w:val="5F5E55EC"/>
    <w:rsid w:val="5F764AFD"/>
    <w:rsid w:val="5F943D9E"/>
    <w:rsid w:val="5FB44C41"/>
    <w:rsid w:val="5FEE53E1"/>
    <w:rsid w:val="603F6C6F"/>
    <w:rsid w:val="604C08B9"/>
    <w:rsid w:val="606103F7"/>
    <w:rsid w:val="60710263"/>
    <w:rsid w:val="607374DC"/>
    <w:rsid w:val="607C3753"/>
    <w:rsid w:val="60912B7C"/>
    <w:rsid w:val="60C30855"/>
    <w:rsid w:val="60D37EAF"/>
    <w:rsid w:val="60DB1EFF"/>
    <w:rsid w:val="60DE6095"/>
    <w:rsid w:val="60E2600C"/>
    <w:rsid w:val="60E9600B"/>
    <w:rsid w:val="60FC647A"/>
    <w:rsid w:val="61280E5E"/>
    <w:rsid w:val="61421EFD"/>
    <w:rsid w:val="614716CE"/>
    <w:rsid w:val="614B5348"/>
    <w:rsid w:val="615C5041"/>
    <w:rsid w:val="61996EC4"/>
    <w:rsid w:val="61AA3034"/>
    <w:rsid w:val="61E62A2A"/>
    <w:rsid w:val="620D38FD"/>
    <w:rsid w:val="621E51BC"/>
    <w:rsid w:val="62216C6C"/>
    <w:rsid w:val="6240718C"/>
    <w:rsid w:val="627D6E80"/>
    <w:rsid w:val="628C1D03"/>
    <w:rsid w:val="62D074F3"/>
    <w:rsid w:val="62EA08CF"/>
    <w:rsid w:val="633A6746"/>
    <w:rsid w:val="633D7663"/>
    <w:rsid w:val="639C388C"/>
    <w:rsid w:val="639E61A5"/>
    <w:rsid w:val="63C57D48"/>
    <w:rsid w:val="63FE0D55"/>
    <w:rsid w:val="645F2B4B"/>
    <w:rsid w:val="646A148B"/>
    <w:rsid w:val="64917DB3"/>
    <w:rsid w:val="64D16C41"/>
    <w:rsid w:val="64E63530"/>
    <w:rsid w:val="64F93532"/>
    <w:rsid w:val="64FE5610"/>
    <w:rsid w:val="650D717F"/>
    <w:rsid w:val="651D4015"/>
    <w:rsid w:val="655D449B"/>
    <w:rsid w:val="6560510E"/>
    <w:rsid w:val="65636C8E"/>
    <w:rsid w:val="656776AE"/>
    <w:rsid w:val="656D5705"/>
    <w:rsid w:val="657974DD"/>
    <w:rsid w:val="65880ED5"/>
    <w:rsid w:val="65A43193"/>
    <w:rsid w:val="65AD322B"/>
    <w:rsid w:val="65CC6260"/>
    <w:rsid w:val="65CE03DF"/>
    <w:rsid w:val="65D3669A"/>
    <w:rsid w:val="65D6683A"/>
    <w:rsid w:val="661D74D6"/>
    <w:rsid w:val="662E4B5F"/>
    <w:rsid w:val="664805B8"/>
    <w:rsid w:val="66657E78"/>
    <w:rsid w:val="667E3F6E"/>
    <w:rsid w:val="66A33DDC"/>
    <w:rsid w:val="66C66465"/>
    <w:rsid w:val="66CD764F"/>
    <w:rsid w:val="66EC304D"/>
    <w:rsid w:val="672B5340"/>
    <w:rsid w:val="674A453F"/>
    <w:rsid w:val="67A708E2"/>
    <w:rsid w:val="67AF5AC5"/>
    <w:rsid w:val="67CC58D4"/>
    <w:rsid w:val="67FC6F39"/>
    <w:rsid w:val="68050472"/>
    <w:rsid w:val="685063F8"/>
    <w:rsid w:val="68692337"/>
    <w:rsid w:val="68A44353"/>
    <w:rsid w:val="68A95288"/>
    <w:rsid w:val="68B96553"/>
    <w:rsid w:val="68D746D7"/>
    <w:rsid w:val="68F85254"/>
    <w:rsid w:val="69021D00"/>
    <w:rsid w:val="690F418B"/>
    <w:rsid w:val="69663C8F"/>
    <w:rsid w:val="6971710A"/>
    <w:rsid w:val="69A44437"/>
    <w:rsid w:val="69B955F5"/>
    <w:rsid w:val="69C96D84"/>
    <w:rsid w:val="69D53FB9"/>
    <w:rsid w:val="69F22286"/>
    <w:rsid w:val="6A4C156E"/>
    <w:rsid w:val="6A4C3EB0"/>
    <w:rsid w:val="6A7A2736"/>
    <w:rsid w:val="6A7B4B9C"/>
    <w:rsid w:val="6A861A9E"/>
    <w:rsid w:val="6ACF16C3"/>
    <w:rsid w:val="6AE87DB0"/>
    <w:rsid w:val="6AEF3AA7"/>
    <w:rsid w:val="6B141743"/>
    <w:rsid w:val="6B242CB6"/>
    <w:rsid w:val="6B2B5D9D"/>
    <w:rsid w:val="6B490423"/>
    <w:rsid w:val="6B4C50B7"/>
    <w:rsid w:val="6B797179"/>
    <w:rsid w:val="6B7C51CC"/>
    <w:rsid w:val="6B970AD4"/>
    <w:rsid w:val="6BAA05CD"/>
    <w:rsid w:val="6BC76E0D"/>
    <w:rsid w:val="6BD71937"/>
    <w:rsid w:val="6BF645B5"/>
    <w:rsid w:val="6C25725C"/>
    <w:rsid w:val="6C387B5A"/>
    <w:rsid w:val="6C73220C"/>
    <w:rsid w:val="6C89456C"/>
    <w:rsid w:val="6CF8209A"/>
    <w:rsid w:val="6D16208F"/>
    <w:rsid w:val="6D3C10C2"/>
    <w:rsid w:val="6D414E1F"/>
    <w:rsid w:val="6D667D08"/>
    <w:rsid w:val="6D93457C"/>
    <w:rsid w:val="6D980FB9"/>
    <w:rsid w:val="6DA651B2"/>
    <w:rsid w:val="6DAB6D0E"/>
    <w:rsid w:val="6DAF4AB2"/>
    <w:rsid w:val="6DB42415"/>
    <w:rsid w:val="6DB91E5B"/>
    <w:rsid w:val="6DE85300"/>
    <w:rsid w:val="6E2B62EA"/>
    <w:rsid w:val="6E300DF1"/>
    <w:rsid w:val="6E735764"/>
    <w:rsid w:val="6E993208"/>
    <w:rsid w:val="6EAF0E12"/>
    <w:rsid w:val="6EB45AAE"/>
    <w:rsid w:val="6EBA6FC8"/>
    <w:rsid w:val="6ECF299E"/>
    <w:rsid w:val="6EED3726"/>
    <w:rsid w:val="6F1412BD"/>
    <w:rsid w:val="6F166925"/>
    <w:rsid w:val="6F603769"/>
    <w:rsid w:val="6F901B66"/>
    <w:rsid w:val="6FA629D4"/>
    <w:rsid w:val="6FBF5C46"/>
    <w:rsid w:val="6FD10552"/>
    <w:rsid w:val="70326005"/>
    <w:rsid w:val="707257AD"/>
    <w:rsid w:val="708033D4"/>
    <w:rsid w:val="70AF2F64"/>
    <w:rsid w:val="70B5123E"/>
    <w:rsid w:val="70BB2EF0"/>
    <w:rsid w:val="70F82402"/>
    <w:rsid w:val="712E718A"/>
    <w:rsid w:val="713F6A7C"/>
    <w:rsid w:val="7154010C"/>
    <w:rsid w:val="71570257"/>
    <w:rsid w:val="71915503"/>
    <w:rsid w:val="71DB44A2"/>
    <w:rsid w:val="71E20C76"/>
    <w:rsid w:val="71F80849"/>
    <w:rsid w:val="723C0D11"/>
    <w:rsid w:val="72411A48"/>
    <w:rsid w:val="72454855"/>
    <w:rsid w:val="725E14F7"/>
    <w:rsid w:val="72CF4263"/>
    <w:rsid w:val="73455C21"/>
    <w:rsid w:val="73AB7F97"/>
    <w:rsid w:val="73B8077C"/>
    <w:rsid w:val="73C41938"/>
    <w:rsid w:val="73D425F7"/>
    <w:rsid w:val="73E13215"/>
    <w:rsid w:val="73E222D3"/>
    <w:rsid w:val="73F735AF"/>
    <w:rsid w:val="7420188B"/>
    <w:rsid w:val="745D3418"/>
    <w:rsid w:val="74C31CBB"/>
    <w:rsid w:val="75014B8F"/>
    <w:rsid w:val="750A2023"/>
    <w:rsid w:val="75165E8F"/>
    <w:rsid w:val="75611212"/>
    <w:rsid w:val="75791C85"/>
    <w:rsid w:val="75793FE9"/>
    <w:rsid w:val="758E5D67"/>
    <w:rsid w:val="75BB51C1"/>
    <w:rsid w:val="75BF7A08"/>
    <w:rsid w:val="75E40C40"/>
    <w:rsid w:val="75FA6C1A"/>
    <w:rsid w:val="761575FA"/>
    <w:rsid w:val="764A7DFA"/>
    <w:rsid w:val="76574574"/>
    <w:rsid w:val="76643AA0"/>
    <w:rsid w:val="7676736A"/>
    <w:rsid w:val="76933951"/>
    <w:rsid w:val="76941545"/>
    <w:rsid w:val="76972FAB"/>
    <w:rsid w:val="76DF3D50"/>
    <w:rsid w:val="76E835A8"/>
    <w:rsid w:val="771D661B"/>
    <w:rsid w:val="771F475C"/>
    <w:rsid w:val="771F7714"/>
    <w:rsid w:val="773E4513"/>
    <w:rsid w:val="77406C8C"/>
    <w:rsid w:val="77452F68"/>
    <w:rsid w:val="77525D87"/>
    <w:rsid w:val="775A780B"/>
    <w:rsid w:val="77B108E4"/>
    <w:rsid w:val="77B84934"/>
    <w:rsid w:val="77C651A7"/>
    <w:rsid w:val="77E15536"/>
    <w:rsid w:val="78326432"/>
    <w:rsid w:val="783C23EB"/>
    <w:rsid w:val="784C06E5"/>
    <w:rsid w:val="78662AD7"/>
    <w:rsid w:val="78782A0D"/>
    <w:rsid w:val="78797925"/>
    <w:rsid w:val="78AC1FEA"/>
    <w:rsid w:val="78B01A78"/>
    <w:rsid w:val="790A10CB"/>
    <w:rsid w:val="79190D69"/>
    <w:rsid w:val="792977D4"/>
    <w:rsid w:val="793E4823"/>
    <w:rsid w:val="7941500D"/>
    <w:rsid w:val="79485294"/>
    <w:rsid w:val="795E552B"/>
    <w:rsid w:val="798537BE"/>
    <w:rsid w:val="799C2707"/>
    <w:rsid w:val="79A2171F"/>
    <w:rsid w:val="79A252FF"/>
    <w:rsid w:val="79AB0E36"/>
    <w:rsid w:val="79B86297"/>
    <w:rsid w:val="79D33056"/>
    <w:rsid w:val="79E5405B"/>
    <w:rsid w:val="79F159CD"/>
    <w:rsid w:val="7A015D03"/>
    <w:rsid w:val="7A0B5628"/>
    <w:rsid w:val="7A5D4556"/>
    <w:rsid w:val="7A6577A6"/>
    <w:rsid w:val="7A751E9B"/>
    <w:rsid w:val="7AE236D7"/>
    <w:rsid w:val="7AFA6F1E"/>
    <w:rsid w:val="7AFE4EF5"/>
    <w:rsid w:val="7B140FC6"/>
    <w:rsid w:val="7B3900BD"/>
    <w:rsid w:val="7B5F27E7"/>
    <w:rsid w:val="7B7E52F7"/>
    <w:rsid w:val="7BDD441D"/>
    <w:rsid w:val="7C073D88"/>
    <w:rsid w:val="7C120A01"/>
    <w:rsid w:val="7C26369C"/>
    <w:rsid w:val="7C2B73DD"/>
    <w:rsid w:val="7C3E6BF1"/>
    <w:rsid w:val="7C4D1850"/>
    <w:rsid w:val="7C7E1F12"/>
    <w:rsid w:val="7C9A79F4"/>
    <w:rsid w:val="7C9E5A24"/>
    <w:rsid w:val="7CAC00CB"/>
    <w:rsid w:val="7CB0518C"/>
    <w:rsid w:val="7CB741BB"/>
    <w:rsid w:val="7CB847A6"/>
    <w:rsid w:val="7D0B51CF"/>
    <w:rsid w:val="7D1C0302"/>
    <w:rsid w:val="7D365C28"/>
    <w:rsid w:val="7D415807"/>
    <w:rsid w:val="7D481C8C"/>
    <w:rsid w:val="7D4D3ABE"/>
    <w:rsid w:val="7D575412"/>
    <w:rsid w:val="7D62117D"/>
    <w:rsid w:val="7D6D0DCF"/>
    <w:rsid w:val="7D7F522E"/>
    <w:rsid w:val="7D7F70BD"/>
    <w:rsid w:val="7D815945"/>
    <w:rsid w:val="7D9B687D"/>
    <w:rsid w:val="7DA15156"/>
    <w:rsid w:val="7DB54254"/>
    <w:rsid w:val="7DBB25A0"/>
    <w:rsid w:val="7DDB6FC0"/>
    <w:rsid w:val="7DE90AB8"/>
    <w:rsid w:val="7DF1144E"/>
    <w:rsid w:val="7E066BAB"/>
    <w:rsid w:val="7E3354C8"/>
    <w:rsid w:val="7E38594E"/>
    <w:rsid w:val="7E3A3FF6"/>
    <w:rsid w:val="7E3E1EF2"/>
    <w:rsid w:val="7E5E6237"/>
    <w:rsid w:val="7E9431BA"/>
    <w:rsid w:val="7E951513"/>
    <w:rsid w:val="7EF74FC9"/>
    <w:rsid w:val="7EFA0438"/>
    <w:rsid w:val="7F085183"/>
    <w:rsid w:val="7F1C5072"/>
    <w:rsid w:val="7F2E4098"/>
    <w:rsid w:val="7F39213F"/>
    <w:rsid w:val="7F5777AD"/>
    <w:rsid w:val="7F5D06E2"/>
    <w:rsid w:val="7F9309D6"/>
    <w:rsid w:val="7FB073A4"/>
    <w:rsid w:val="7FBF617D"/>
    <w:rsid w:val="7FD501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toc 1" w:semiHidden="0" w:uiPriority="39" w:qFormat="1"/>
    <w:lsdException w:name="toc 2" w:qFormat="1"/>
    <w:lsdException w:name="toc 3" w:semiHidden="0" w:qFormat="1"/>
    <w:lsdException w:name="annotation text"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unhideWhenUsed="0" w:qFormat="1"/>
    <w:lsdException w:name="List" w:semiHidden="0" w:uiPriority="0" w:unhideWhenUsed="0" w:qFormat="1"/>
    <w:lsdException w:name="List 2" w:semiHidden="0" w:uiPriority="0" w:unhideWhenUsed="0" w:qFormat="1"/>
    <w:lsdException w:name="Title" w:semiHidden="0" w:unhideWhenUsed="0"/>
    <w:lsdException w:name="Default Paragraph Font" w:uiPriority="1" w:qFormat="1"/>
    <w:lsdException w:name="Subtitle" w:semiHidden="0" w:unhideWhenUsed="0"/>
    <w:lsdException w:name="Hyperlink" w:semiHidden="0" w:qFormat="1"/>
    <w:lsdException w:name="Strong" w:semiHidden="0" w:unhideWhenUsed="0"/>
    <w:lsdException w:name="Emphasis" w:semiHidden="0" w:unhideWhenUsed="0"/>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5DF"/>
    <w:pPr>
      <w:spacing w:beforeLines="50" w:afterLines="50"/>
      <w:jc w:val="both"/>
    </w:pPr>
    <w:rPr>
      <w:rFonts w:ascii="Times New Roman" w:eastAsia="SimSun" w:hAnsi="Times New Roman"/>
      <w:kern w:val="2"/>
      <w:sz w:val="21"/>
    </w:rPr>
  </w:style>
  <w:style w:type="paragraph" w:styleId="Heading1">
    <w:name w:val="heading 1"/>
    <w:basedOn w:val="Normal"/>
    <w:next w:val="Normal"/>
    <w:qFormat/>
    <w:rsid w:val="006945DF"/>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6945DF"/>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6945DF"/>
    <w:pPr>
      <w:numPr>
        <w:ilvl w:val="2"/>
      </w:numPr>
      <w:spacing w:before="120"/>
      <w:ind w:left="0"/>
      <w:outlineLvl w:val="2"/>
    </w:pPr>
    <w:rPr>
      <w:sz w:val="24"/>
    </w:rPr>
  </w:style>
  <w:style w:type="paragraph" w:styleId="Heading4">
    <w:name w:val="heading 4"/>
    <w:basedOn w:val="Normal"/>
    <w:next w:val="Normal"/>
    <w:uiPriority w:val="9"/>
    <w:qFormat/>
    <w:rsid w:val="006945DF"/>
    <w:pPr>
      <w:keepNext/>
      <w:numPr>
        <w:ilvl w:val="3"/>
        <w:numId w:val="2"/>
      </w:numPr>
      <w:spacing w:before="60" w:after="120"/>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45DF"/>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semiHidden/>
    <w:unhideWhenUsed/>
    <w:qFormat/>
    <w:rsid w:val="006945DF"/>
    <w:pPr>
      <w:spacing w:after="0" w:line="240" w:lineRule="auto"/>
    </w:pPr>
    <w:rPr>
      <w:rFonts w:ascii="Tahoma" w:hAnsi="Tahoma" w:cs="Tahoma"/>
      <w:sz w:val="16"/>
      <w:szCs w:val="16"/>
    </w:rPr>
  </w:style>
  <w:style w:type="paragraph" w:styleId="CommentText">
    <w:name w:val="annotation text"/>
    <w:basedOn w:val="Normal"/>
    <w:link w:val="CommentTextChar"/>
    <w:uiPriority w:val="99"/>
    <w:semiHidden/>
    <w:unhideWhenUsed/>
    <w:qFormat/>
    <w:rsid w:val="006945DF"/>
    <w:pPr>
      <w:jc w:val="left"/>
    </w:pPr>
  </w:style>
  <w:style w:type="paragraph" w:styleId="List2">
    <w:name w:val="List 2"/>
    <w:basedOn w:val="Normal"/>
    <w:qFormat/>
    <w:rsid w:val="006945DF"/>
    <w:pPr>
      <w:ind w:left="851"/>
    </w:pPr>
  </w:style>
  <w:style w:type="paragraph" w:styleId="TOC3">
    <w:name w:val="toc 3"/>
    <w:basedOn w:val="Normal"/>
    <w:next w:val="Normal"/>
    <w:uiPriority w:val="99"/>
    <w:unhideWhenUsed/>
    <w:qFormat/>
    <w:rsid w:val="006945DF"/>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sid w:val="006945DF"/>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6945DF"/>
    <w:pPr>
      <w:tabs>
        <w:tab w:val="center" w:pos="4153"/>
        <w:tab w:val="right" w:pos="8306"/>
      </w:tabs>
      <w:snapToGrid w:val="0"/>
      <w:jc w:val="left"/>
    </w:pPr>
    <w:rPr>
      <w:sz w:val="18"/>
      <w:szCs w:val="18"/>
    </w:rPr>
  </w:style>
  <w:style w:type="paragraph" w:styleId="Header">
    <w:name w:val="header"/>
    <w:basedOn w:val="Normal"/>
    <w:link w:val="HeaderChar"/>
    <w:semiHidden/>
    <w:qFormat/>
    <w:rsid w:val="006945DF"/>
    <w:pPr>
      <w:tabs>
        <w:tab w:val="center" w:pos="4680"/>
        <w:tab w:val="right" w:pos="9360"/>
      </w:tabs>
      <w:spacing w:after="0" w:line="240" w:lineRule="auto"/>
    </w:pPr>
  </w:style>
  <w:style w:type="paragraph" w:styleId="TOC1">
    <w:name w:val="toc 1"/>
    <w:basedOn w:val="Normal"/>
    <w:next w:val="Normal"/>
    <w:uiPriority w:val="39"/>
    <w:unhideWhenUsed/>
    <w:qFormat/>
    <w:rsid w:val="006945DF"/>
    <w:pPr>
      <w:tabs>
        <w:tab w:val="decimal" w:pos="0"/>
        <w:tab w:val="right" w:pos="9660"/>
      </w:tabs>
      <w:ind w:rightChars="200" w:right="420"/>
      <w:jc w:val="left"/>
    </w:pPr>
    <w:rPr>
      <w:rFonts w:eastAsiaTheme="minorEastAsia"/>
      <w:b/>
      <w:bCs/>
      <w:i/>
      <w:iCs/>
      <w:sz w:val="20"/>
    </w:rPr>
  </w:style>
  <w:style w:type="paragraph" w:styleId="List">
    <w:name w:val="List"/>
    <w:basedOn w:val="Normal"/>
    <w:qFormat/>
    <w:rsid w:val="006945DF"/>
    <w:pPr>
      <w:ind w:left="568" w:hanging="284"/>
    </w:pPr>
  </w:style>
  <w:style w:type="paragraph" w:styleId="TableofFigures">
    <w:name w:val="table of figures"/>
    <w:basedOn w:val="Normal"/>
    <w:next w:val="Normal"/>
    <w:uiPriority w:val="99"/>
    <w:semiHidden/>
    <w:unhideWhenUsed/>
    <w:qFormat/>
    <w:rsid w:val="006945DF"/>
    <w:pPr>
      <w:ind w:leftChars="200" w:left="200" w:hangingChars="200" w:hanging="200"/>
    </w:pPr>
  </w:style>
  <w:style w:type="paragraph" w:styleId="TOC2">
    <w:name w:val="toc 2"/>
    <w:basedOn w:val="Normal"/>
    <w:next w:val="Normal"/>
    <w:uiPriority w:val="99"/>
    <w:semiHidden/>
    <w:unhideWhenUsed/>
    <w:qFormat/>
    <w:rsid w:val="006945DF"/>
    <w:pPr>
      <w:tabs>
        <w:tab w:val="right" w:pos="420"/>
      </w:tabs>
      <w:ind w:leftChars="200" w:left="862" w:hangingChars="200" w:hanging="442"/>
      <w:jc w:val="left"/>
    </w:pPr>
    <w:rPr>
      <w:b/>
      <w:i/>
      <w:sz w:val="20"/>
    </w:rPr>
  </w:style>
  <w:style w:type="paragraph" w:styleId="NormalWeb">
    <w:name w:val="Normal (Web)"/>
    <w:basedOn w:val="Normal"/>
    <w:uiPriority w:val="99"/>
    <w:semiHidden/>
    <w:unhideWhenUsed/>
    <w:qFormat/>
    <w:rsid w:val="006945DF"/>
    <w:pPr>
      <w:spacing w:beforeAutospacing="1" w:after="0"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rsid w:val="006945DF"/>
    <w:pPr>
      <w:spacing w:line="240" w:lineRule="auto"/>
      <w:jc w:val="both"/>
    </w:pPr>
    <w:rPr>
      <w:b/>
      <w:bCs/>
      <w:sz w:val="20"/>
    </w:rPr>
  </w:style>
  <w:style w:type="table" w:styleId="TableGrid">
    <w:name w:val="Table Grid"/>
    <w:basedOn w:val="TableNormal"/>
    <w:uiPriority w:val="59"/>
    <w:qFormat/>
    <w:rsid w:val="006945D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qFormat/>
    <w:rsid w:val="006945DF"/>
    <w:rPr>
      <w:color w:val="0000FF" w:themeColor="hyperlink"/>
      <w:u w:val="single"/>
    </w:rPr>
  </w:style>
  <w:style w:type="character" w:styleId="CommentReference">
    <w:name w:val="annotation reference"/>
    <w:uiPriority w:val="99"/>
    <w:qFormat/>
    <w:rsid w:val="006945DF"/>
    <w:rPr>
      <w:sz w:val="16"/>
    </w:rPr>
  </w:style>
  <w:style w:type="paragraph" w:customStyle="1" w:styleId="YJ-Observation">
    <w:name w:val="YJ-Observation"/>
    <w:basedOn w:val="YJ-Proposal"/>
    <w:qFormat/>
    <w:rsid w:val="006945DF"/>
    <w:pPr>
      <w:numPr>
        <w:numId w:val="3"/>
      </w:numPr>
      <w:tabs>
        <w:tab w:val="left" w:pos="420"/>
      </w:tabs>
    </w:pPr>
  </w:style>
  <w:style w:type="paragraph" w:customStyle="1" w:styleId="YJ-Proposal">
    <w:name w:val="YJ-Proposal"/>
    <w:basedOn w:val="Normal"/>
    <w:qFormat/>
    <w:rsid w:val="006945DF"/>
    <w:pPr>
      <w:numPr>
        <w:numId w:val="4"/>
      </w:numPr>
      <w:jc w:val="left"/>
    </w:pPr>
    <w:rPr>
      <w:rFonts w:eastAsiaTheme="minorEastAsia"/>
      <w:b/>
      <w:bCs/>
      <w:i/>
      <w:iCs/>
      <w:sz w:val="20"/>
      <w:lang w:val="en-GB" w:eastAsia="en-US"/>
    </w:rPr>
  </w:style>
  <w:style w:type="paragraph" w:customStyle="1" w:styleId="YJ--">
    <w:name w:val="YJ--正文"/>
    <w:basedOn w:val="Normal"/>
    <w:qFormat/>
    <w:rsid w:val="006945DF"/>
    <w:pPr>
      <w:spacing w:line="240" w:lineRule="auto"/>
      <w:ind w:firstLineChars="200" w:firstLine="1440"/>
    </w:pPr>
    <w:rPr>
      <w:rFonts w:eastAsia="Times New Roman" w:cs="SimSun"/>
    </w:rPr>
  </w:style>
  <w:style w:type="paragraph" w:customStyle="1" w:styleId="sub-proposal">
    <w:name w:val="sub-proposal"/>
    <w:basedOn w:val="YJ-Proposal"/>
    <w:next w:val="Normal"/>
    <w:qFormat/>
    <w:rsid w:val="006945DF"/>
    <w:pPr>
      <w:numPr>
        <w:numId w:val="5"/>
      </w:numPr>
      <w:tabs>
        <w:tab w:val="left" w:pos="807"/>
      </w:tabs>
      <w:ind w:leftChars="200" w:left="862" w:hangingChars="200" w:hanging="442"/>
    </w:pPr>
  </w:style>
  <w:style w:type="paragraph" w:customStyle="1" w:styleId="sub-observation">
    <w:name w:val="sub-observation"/>
    <w:basedOn w:val="sub-proposal"/>
    <w:next w:val="Normal"/>
    <w:qFormat/>
    <w:rsid w:val="006945DF"/>
  </w:style>
  <w:style w:type="paragraph" w:customStyle="1" w:styleId="3rdlevelproposal">
    <w:name w:val="3rd level proposal"/>
    <w:basedOn w:val="sub-proposal"/>
    <w:next w:val="Normal"/>
    <w:qFormat/>
    <w:rsid w:val="006945DF"/>
    <w:pPr>
      <w:numPr>
        <w:numId w:val="6"/>
      </w:numPr>
      <w:ind w:leftChars="400" w:left="1282" w:hanging="442"/>
    </w:pPr>
  </w:style>
  <w:style w:type="paragraph" w:customStyle="1" w:styleId="3rdlevelobservation">
    <w:name w:val="3rd level observation"/>
    <w:basedOn w:val="sub-observation"/>
    <w:qFormat/>
    <w:rsid w:val="006945DF"/>
    <w:pPr>
      <w:numPr>
        <w:numId w:val="7"/>
      </w:numPr>
      <w:ind w:leftChars="400" w:left="1282" w:hanging="442"/>
    </w:pPr>
  </w:style>
  <w:style w:type="paragraph" w:customStyle="1" w:styleId="References">
    <w:name w:val="References"/>
    <w:basedOn w:val="Normal"/>
    <w:qFormat/>
    <w:rsid w:val="006945DF"/>
    <w:pPr>
      <w:numPr>
        <w:numId w:val="8"/>
      </w:numPr>
      <w:spacing w:after="60"/>
    </w:pPr>
    <w:rPr>
      <w:szCs w:val="16"/>
    </w:rPr>
  </w:style>
  <w:style w:type="paragraph" w:styleId="ListParagraph">
    <w:name w:val="List Paragraph"/>
    <w:basedOn w:val="Normal"/>
    <w:link w:val="ListParagraphChar"/>
    <w:uiPriority w:val="34"/>
    <w:qFormat/>
    <w:rsid w:val="006945DF"/>
    <w:pPr>
      <w:spacing w:beforeLines="0" w:after="0" w:line="240" w:lineRule="auto"/>
      <w:ind w:left="720"/>
      <w:contextualSpacing/>
    </w:pPr>
    <w:rPr>
      <w:rFonts w:eastAsia="Times New Roman"/>
      <w:sz w:val="24"/>
      <w:szCs w:val="24"/>
    </w:rPr>
  </w:style>
  <w:style w:type="paragraph" w:customStyle="1" w:styleId="1">
    <w:name w:val="样式1"/>
    <w:basedOn w:val="Normal"/>
    <w:qFormat/>
    <w:rsid w:val="006945DF"/>
  </w:style>
  <w:style w:type="paragraph" w:customStyle="1" w:styleId="2">
    <w:name w:val="样式2"/>
    <w:basedOn w:val="Normal"/>
    <w:qFormat/>
    <w:rsid w:val="006945DF"/>
  </w:style>
  <w:style w:type="paragraph" w:customStyle="1" w:styleId="Style1">
    <w:name w:val="Style1"/>
    <w:basedOn w:val="Normal"/>
    <w:qFormat/>
    <w:rsid w:val="006945DF"/>
    <w:pPr>
      <w:spacing w:after="100" w:afterAutospacing="1" w:line="300" w:lineRule="auto"/>
      <w:ind w:firstLine="360"/>
      <w:contextualSpacing/>
    </w:pPr>
  </w:style>
  <w:style w:type="character" w:customStyle="1" w:styleId="font21">
    <w:name w:val="font21"/>
    <w:basedOn w:val="DefaultParagraphFont"/>
    <w:qFormat/>
    <w:rsid w:val="006945DF"/>
    <w:rPr>
      <w:rFonts w:ascii="SimSun" w:eastAsia="SimSun" w:hAnsi="SimSun" w:cs="SimSun" w:hint="eastAsia"/>
      <w:color w:val="000000"/>
      <w:sz w:val="20"/>
      <w:szCs w:val="20"/>
      <w:u w:val="none"/>
    </w:rPr>
  </w:style>
  <w:style w:type="character" w:customStyle="1" w:styleId="font11">
    <w:name w:val="font11"/>
    <w:basedOn w:val="DefaultParagraphFont"/>
    <w:qFormat/>
    <w:rsid w:val="006945DF"/>
    <w:rPr>
      <w:rFonts w:ascii="Times New Roman" w:hAnsi="Times New Roman" w:cs="Times New Roman" w:hint="default"/>
      <w:color w:val="000000"/>
      <w:sz w:val="21"/>
      <w:szCs w:val="21"/>
      <w:u w:val="none"/>
    </w:rPr>
  </w:style>
  <w:style w:type="character" w:customStyle="1" w:styleId="font01">
    <w:name w:val="font01"/>
    <w:basedOn w:val="DefaultParagraphFont"/>
    <w:qFormat/>
    <w:rsid w:val="006945DF"/>
    <w:rPr>
      <w:rFonts w:ascii="Times New Roman" w:hAnsi="Times New Roman" w:cs="Times New Roman" w:hint="default"/>
      <w:color w:val="000000"/>
      <w:sz w:val="20"/>
      <w:szCs w:val="20"/>
      <w:u w:val="none"/>
    </w:rPr>
  </w:style>
  <w:style w:type="paragraph" w:customStyle="1" w:styleId="PL">
    <w:name w:val="PL"/>
    <w:qFormat/>
    <w:rsid w:val="00694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szCs w:val="22"/>
    </w:rPr>
  </w:style>
  <w:style w:type="paragraph" w:customStyle="1" w:styleId="B1">
    <w:name w:val="B1"/>
    <w:basedOn w:val="List"/>
    <w:link w:val="B1Zchn"/>
    <w:qFormat/>
    <w:rsid w:val="006945DF"/>
  </w:style>
  <w:style w:type="paragraph" w:customStyle="1" w:styleId="TH">
    <w:name w:val="TH"/>
    <w:basedOn w:val="Normal"/>
    <w:qFormat/>
    <w:rsid w:val="006945DF"/>
    <w:pPr>
      <w:keepNext/>
      <w:keepLines/>
      <w:spacing w:before="60"/>
      <w:jc w:val="center"/>
    </w:pPr>
    <w:rPr>
      <w:rFonts w:ascii="Arial" w:hAnsi="Arial"/>
      <w:b/>
    </w:rPr>
  </w:style>
  <w:style w:type="paragraph" w:customStyle="1" w:styleId="TAH">
    <w:name w:val="TAH"/>
    <w:basedOn w:val="TAC"/>
    <w:qFormat/>
    <w:rsid w:val="006945DF"/>
    <w:rPr>
      <w:b/>
    </w:rPr>
  </w:style>
  <w:style w:type="paragraph" w:customStyle="1" w:styleId="TAC">
    <w:name w:val="TAC"/>
    <w:basedOn w:val="TAL"/>
    <w:qFormat/>
    <w:rsid w:val="006945DF"/>
    <w:pPr>
      <w:jc w:val="center"/>
    </w:pPr>
  </w:style>
  <w:style w:type="paragraph" w:customStyle="1" w:styleId="TAL">
    <w:name w:val="TAL"/>
    <w:basedOn w:val="Normal"/>
    <w:qFormat/>
    <w:rsid w:val="006945DF"/>
    <w:pPr>
      <w:keepNext/>
      <w:keepLines/>
      <w:spacing w:after="0"/>
    </w:pPr>
    <w:rPr>
      <w:rFonts w:ascii="Arial" w:hAnsi="Arial"/>
      <w:sz w:val="18"/>
    </w:rPr>
  </w:style>
  <w:style w:type="character" w:customStyle="1" w:styleId="fontstyle01">
    <w:name w:val="fontstyle01"/>
    <w:basedOn w:val="DefaultParagraphFont"/>
    <w:qFormat/>
    <w:rsid w:val="006945DF"/>
    <w:rPr>
      <w:rFonts w:ascii="Times New Roman" w:hAnsi="Times New Roman" w:cs="Times New Roman" w:hint="default"/>
      <w:i/>
      <w:iCs/>
      <w:color w:val="000000"/>
      <w:sz w:val="20"/>
      <w:szCs w:val="20"/>
    </w:rPr>
  </w:style>
  <w:style w:type="paragraph" w:customStyle="1" w:styleId="B2">
    <w:name w:val="B2"/>
    <w:basedOn w:val="List2"/>
    <w:link w:val="B2Char"/>
    <w:qFormat/>
    <w:rsid w:val="006945DF"/>
  </w:style>
  <w:style w:type="character" w:customStyle="1" w:styleId="BalloonTextChar">
    <w:name w:val="Balloon Text Char"/>
    <w:basedOn w:val="DefaultParagraphFont"/>
    <w:link w:val="BalloonText"/>
    <w:uiPriority w:val="99"/>
    <w:semiHidden/>
    <w:qFormat/>
    <w:rsid w:val="006945DF"/>
    <w:rPr>
      <w:rFonts w:ascii="Tahoma" w:hAnsi="Tahoma" w:cs="Tahoma"/>
      <w:kern w:val="2"/>
      <w:sz w:val="16"/>
      <w:szCs w:val="16"/>
    </w:rPr>
  </w:style>
  <w:style w:type="character" w:customStyle="1" w:styleId="DocumentMapChar">
    <w:name w:val="Document Map Char"/>
    <w:basedOn w:val="DefaultParagraphFont"/>
    <w:link w:val="DocumentMap"/>
    <w:uiPriority w:val="99"/>
    <w:semiHidden/>
    <w:qFormat/>
    <w:rsid w:val="006945DF"/>
    <w:rPr>
      <w:rFonts w:ascii="Tahoma" w:hAnsi="Tahoma" w:cs="Tahoma"/>
      <w:kern w:val="2"/>
      <w:sz w:val="16"/>
      <w:szCs w:val="16"/>
    </w:rPr>
  </w:style>
  <w:style w:type="character" w:customStyle="1" w:styleId="CommentTextChar">
    <w:name w:val="Comment Text Char"/>
    <w:basedOn w:val="DefaultParagraphFont"/>
    <w:link w:val="CommentText"/>
    <w:uiPriority w:val="99"/>
    <w:semiHidden/>
    <w:qFormat/>
    <w:rsid w:val="006945DF"/>
    <w:rPr>
      <w:kern w:val="2"/>
      <w:sz w:val="21"/>
    </w:rPr>
  </w:style>
  <w:style w:type="character" w:customStyle="1" w:styleId="CommentSubjectChar">
    <w:name w:val="Comment Subject Char"/>
    <w:basedOn w:val="CommentTextChar"/>
    <w:link w:val="CommentSubject"/>
    <w:qFormat/>
    <w:rsid w:val="006945DF"/>
    <w:rPr>
      <w:kern w:val="2"/>
      <w:sz w:val="21"/>
    </w:rPr>
  </w:style>
  <w:style w:type="paragraph" w:customStyle="1" w:styleId="maintext">
    <w:name w:val="main text"/>
    <w:basedOn w:val="Normal"/>
    <w:qFormat/>
    <w:rsid w:val="006945DF"/>
    <w:pPr>
      <w:spacing w:before="60" w:after="60" w:line="288" w:lineRule="auto"/>
      <w:ind w:firstLineChars="200" w:firstLine="200"/>
    </w:pPr>
    <w:rPr>
      <w:rFonts w:eastAsia="Malgun Gothic"/>
      <w:szCs w:val="24"/>
      <w:lang w:eastAsia="ko-KR"/>
    </w:rPr>
  </w:style>
  <w:style w:type="character" w:customStyle="1" w:styleId="HeaderChar">
    <w:name w:val="Header Char"/>
    <w:basedOn w:val="DefaultParagraphFont"/>
    <w:link w:val="Header"/>
    <w:semiHidden/>
    <w:qFormat/>
    <w:rsid w:val="006945DF"/>
    <w:rPr>
      <w:kern w:val="2"/>
      <w:sz w:val="21"/>
    </w:rPr>
  </w:style>
  <w:style w:type="character" w:customStyle="1" w:styleId="FooterChar">
    <w:name w:val="Footer Char"/>
    <w:basedOn w:val="DefaultParagraphFont"/>
    <w:link w:val="Footer"/>
    <w:uiPriority w:val="99"/>
    <w:qFormat/>
    <w:rsid w:val="006945DF"/>
    <w:rPr>
      <w:kern w:val="2"/>
      <w:sz w:val="18"/>
      <w:szCs w:val="18"/>
    </w:rPr>
  </w:style>
  <w:style w:type="character" w:customStyle="1" w:styleId="B1Zchn">
    <w:name w:val="B1 Zchn"/>
    <w:link w:val="B1"/>
    <w:qFormat/>
    <w:rsid w:val="006945DF"/>
    <w:rPr>
      <w:kern w:val="2"/>
      <w:sz w:val="21"/>
    </w:rPr>
  </w:style>
  <w:style w:type="character" w:customStyle="1" w:styleId="B2Char">
    <w:name w:val="B2 Char"/>
    <w:link w:val="B2"/>
    <w:qFormat/>
    <w:rsid w:val="006945DF"/>
    <w:rPr>
      <w:kern w:val="2"/>
      <w:sz w:val="21"/>
    </w:rPr>
  </w:style>
  <w:style w:type="character" w:customStyle="1" w:styleId="ListParagraphChar">
    <w:name w:val="List Paragraph Char"/>
    <w:link w:val="ListParagraph"/>
    <w:uiPriority w:val="34"/>
    <w:qFormat/>
    <w:rsid w:val="006945DF"/>
    <w:rPr>
      <w:rFonts w:ascii="Times New Roman" w:eastAsia="Times New Roman" w:hAnsi="Times New Roman"/>
      <w:kern w:val="2"/>
      <w:sz w:val="24"/>
      <w:szCs w:val="24"/>
    </w:rPr>
  </w:style>
  <w:style w:type="paragraph" w:customStyle="1" w:styleId="textintend1">
    <w:name w:val="text intend 1"/>
    <w:basedOn w:val="Normal"/>
    <w:qFormat/>
    <w:rsid w:val="006945DF"/>
    <w:pPr>
      <w:numPr>
        <w:numId w:val="9"/>
      </w:numPr>
      <w:overflowPunct w:val="0"/>
      <w:autoSpaceDE w:val="0"/>
      <w:autoSpaceDN w:val="0"/>
      <w:adjustRightInd w:val="0"/>
      <w:spacing w:beforeLines="0" w:afterLines="0" w:line="240" w:lineRule="auto"/>
      <w:textAlignment w:val="baseline"/>
    </w:pPr>
    <w:rPr>
      <w:rFonts w:eastAsia="MS Mincho"/>
      <w:kern w:val="0"/>
      <w:sz w:val="24"/>
      <w:lang w:eastAsia="en-GB"/>
    </w:rPr>
  </w:style>
  <w:style w:type="character" w:styleId="PlaceholderText">
    <w:name w:val="Placeholder Text"/>
    <w:basedOn w:val="DefaultParagraphFont"/>
    <w:uiPriority w:val="99"/>
    <w:unhideWhenUsed/>
    <w:qFormat/>
    <w:rsid w:val="006945DF"/>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989FF2-56C6-4527-A044-617CF8797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7</Pages>
  <Words>2091</Words>
  <Characters>11347</Characters>
  <Application>Microsoft Office Word</Application>
  <DocSecurity>0</DocSecurity>
  <Lines>177</Lines>
  <Paragraphs>106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127</cp:revision>
  <dcterms:created xsi:type="dcterms:W3CDTF">2019-04-08T03:09:00Z</dcterms:created>
  <dcterms:modified xsi:type="dcterms:W3CDTF">2020-08-07T17:22:00Z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